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86600" w14:textId="77777777" w:rsidR="005E6275" w:rsidRPr="004D39D3" w:rsidRDefault="005E6275" w:rsidP="005E6275">
      <w:pPr>
        <w:spacing w:line="480" w:lineRule="auto"/>
        <w:jc w:val="both"/>
        <w:rPr>
          <w:b/>
          <w:bCs/>
        </w:rPr>
      </w:pPr>
      <w:r w:rsidRPr="004D39D3">
        <w:rPr>
          <w:b/>
          <w:bCs/>
        </w:rPr>
        <w:t xml:space="preserve">Figure S1: </w:t>
      </w:r>
      <w:r>
        <w:rPr>
          <w:b/>
          <w:bCs/>
        </w:rPr>
        <w:t xml:space="preserve">ECD has minimal impact on overall levels of circulating or hepatic endocannabinoids, related to Figure 1 </w:t>
      </w:r>
      <w:r w:rsidRPr="004D39D3">
        <w:rPr>
          <w:b/>
          <w:bCs/>
        </w:rPr>
        <w:t xml:space="preserve"> </w:t>
      </w:r>
    </w:p>
    <w:p w14:paraId="34AE0776" w14:textId="77777777" w:rsidR="005E6275" w:rsidRDefault="005E6275" w:rsidP="005E6275">
      <w:pPr>
        <w:spacing w:line="480" w:lineRule="auto"/>
        <w:jc w:val="both"/>
      </w:pPr>
      <w:r>
        <w:rPr>
          <w:b/>
          <w:bCs/>
        </w:rPr>
        <w:t xml:space="preserve">A – H: </w:t>
      </w:r>
      <w:r w:rsidRPr="009042D0">
        <w:t>Levels of AEA (left side) and 2-AG (right side) from male (A-D) and female (E-H) plasma and liver samples. Samples were collected at one of the following time points: ZT 0, 4, 8, 12, 16, 20.</w:t>
      </w:r>
      <w:r>
        <w:t xml:space="preserve"> A 2-way ANOVA was used to test the effect of experimental condition, ZT, and their interaction on endocannabinoid levels. Significant main effects or interaction terms are presented within-figure. Significant follow-up post-hoc tests comparing Control vs ECD, within ZT, are denoted with “*”.  </w:t>
      </w:r>
      <w:r w:rsidRPr="000D49B1">
        <w:rPr>
          <w:i/>
          <w:iCs/>
        </w:rPr>
        <w:t>n</w:t>
      </w:r>
      <w:r>
        <w:t xml:space="preserve"> = 9-12/experimental condition/ZT.</w:t>
      </w:r>
    </w:p>
    <w:p w14:paraId="1360FE34" w14:textId="77777777" w:rsidR="005E6275" w:rsidRPr="006D5A33" w:rsidRDefault="005E6275" w:rsidP="005E6275">
      <w:pPr>
        <w:spacing w:line="480" w:lineRule="auto"/>
        <w:jc w:val="both"/>
      </w:pPr>
      <w:r w:rsidRPr="003C7C86">
        <w:rPr>
          <w:b/>
          <w:bCs/>
        </w:rPr>
        <w:t>I and J:</w:t>
      </w:r>
      <w:r w:rsidRPr="003C7C86">
        <w:t xml:space="preserve"> Scatterplot of AEA and 2-AG levels in plasma (</w:t>
      </w:r>
      <w:r>
        <w:t>I</w:t>
      </w:r>
      <w:r w:rsidRPr="003C7C86">
        <w:t>) and liver (</w:t>
      </w:r>
      <w:r>
        <w:t>J</w:t>
      </w:r>
      <w:r w:rsidRPr="003C7C86">
        <w:t xml:space="preserve">) from </w:t>
      </w:r>
      <w:r>
        <w:t>fe</w:t>
      </w:r>
      <w:r w:rsidRPr="003C7C86">
        <w:t>male mice under Control (black circles) and ECD (red triangles) conditions and their linear regressions (lines). Samples were collected at various time points (one of: ZT 0, 4, 8, 12, 16, or 20) and collapsed for correlation analysis</w:t>
      </w:r>
      <w:r>
        <w:t>.</w:t>
      </w:r>
      <w:r w:rsidRPr="003C7C86">
        <w:t xml:space="preserve"> </w:t>
      </w:r>
      <w:r w:rsidRPr="003C7C86">
        <w:rPr>
          <w:i/>
          <w:iCs/>
        </w:rPr>
        <w:t xml:space="preserve">n </w:t>
      </w:r>
      <w:r w:rsidRPr="003C7C86">
        <w:t>= 30-35/experimental condition/tissue.</w:t>
      </w:r>
    </w:p>
    <w:p w14:paraId="0B04DD8C" w14:textId="77777777" w:rsidR="005E6275" w:rsidRDefault="005E6275" w:rsidP="005E6275">
      <w:pPr>
        <w:spacing w:line="480" w:lineRule="auto"/>
        <w:jc w:val="both"/>
      </w:pPr>
      <w:r>
        <w:t>*</w:t>
      </w:r>
      <w:r w:rsidRPr="005155AC">
        <w:rPr>
          <w:i/>
          <w:iCs/>
        </w:rPr>
        <w:t>p</w:t>
      </w:r>
      <w:r>
        <w:t xml:space="preserve"> &lt; 0.05, **</w:t>
      </w:r>
      <w:r w:rsidRPr="005155AC">
        <w:rPr>
          <w:i/>
          <w:iCs/>
        </w:rPr>
        <w:t>p</w:t>
      </w:r>
      <w:r>
        <w:t xml:space="preserve"> &lt; 0.01, ***</w:t>
      </w:r>
      <w:r w:rsidRPr="005155AC">
        <w:rPr>
          <w:i/>
          <w:iCs/>
        </w:rPr>
        <w:t>p</w:t>
      </w:r>
      <w:r>
        <w:t xml:space="preserve"> &lt; 0.001.</w:t>
      </w:r>
    </w:p>
    <w:p w14:paraId="54B3F05E" w14:textId="77777777" w:rsidR="005E6275" w:rsidRDefault="005E6275" w:rsidP="005E6275">
      <w:pPr>
        <w:spacing w:line="480" w:lineRule="auto"/>
        <w:rPr>
          <w:b/>
          <w:bCs/>
        </w:rPr>
      </w:pPr>
    </w:p>
    <w:p w14:paraId="16191BF2" w14:textId="77777777" w:rsidR="005E6275" w:rsidRDefault="005E6275" w:rsidP="005E6275">
      <w:pPr>
        <w:rPr>
          <w:b/>
          <w:bCs/>
        </w:rPr>
      </w:pPr>
      <w:r>
        <w:rPr>
          <w:b/>
          <w:bCs/>
        </w:rPr>
        <w:br w:type="page"/>
      </w:r>
    </w:p>
    <w:p w14:paraId="5C51C590" w14:textId="77777777" w:rsidR="005E6275" w:rsidRDefault="005E6275" w:rsidP="005E6275">
      <w:pPr>
        <w:spacing w:line="480" w:lineRule="auto"/>
        <w:jc w:val="both"/>
      </w:pPr>
      <w:r>
        <w:rPr>
          <w:b/>
          <w:bCs/>
        </w:rPr>
        <w:lastRenderedPageBreak/>
        <w:t>Figure S2: ECD does not induce weight gain in WT or CB1r KO female mice, related to Figure 1</w:t>
      </w:r>
    </w:p>
    <w:p w14:paraId="48151D6C" w14:textId="77777777" w:rsidR="005E6275" w:rsidRDefault="005E6275" w:rsidP="005E6275">
      <w:pPr>
        <w:spacing w:line="480" w:lineRule="auto"/>
        <w:jc w:val="both"/>
      </w:pPr>
      <w:r w:rsidRPr="007D05B7">
        <w:rPr>
          <w:b/>
          <w:bCs/>
        </w:rPr>
        <w:t>A:</w:t>
      </w:r>
      <w:r>
        <w:t xml:space="preserve"> </w:t>
      </w:r>
      <w:r w:rsidRPr="0073080F">
        <w:t xml:space="preserve">Weight gain of </w:t>
      </w:r>
      <w:r>
        <w:t>fe</w:t>
      </w:r>
      <w:r w:rsidRPr="0073080F">
        <w:t xml:space="preserve">male mice recorded manually every 7 days </w:t>
      </w:r>
      <w:r>
        <w:t>in</w:t>
      </w:r>
      <w:r w:rsidRPr="00454CAA">
        <w:t xml:space="preserve"> </w:t>
      </w:r>
      <w:r w:rsidRPr="003C7C86">
        <w:t>Control and ECD conditions.</w:t>
      </w:r>
      <w:r>
        <w:t xml:space="preserve"> </w:t>
      </w:r>
      <w:r w:rsidRPr="003C7C86">
        <w:t>Data were analyzed using a linear mixed effects model (</w:t>
      </w:r>
      <w:r w:rsidRPr="003C7C86">
        <w:rPr>
          <w:i/>
          <w:iCs/>
        </w:rPr>
        <w:t>p</w:t>
      </w:r>
      <w:r w:rsidRPr="003C7C86">
        <w:rPr>
          <w:vertAlign w:val="subscript"/>
        </w:rPr>
        <w:t xml:space="preserve">Genotype </w:t>
      </w:r>
      <w:r>
        <w:rPr>
          <w:vertAlign w:val="subscript"/>
        </w:rPr>
        <w:t>x Condition x</w:t>
      </w:r>
      <w:r w:rsidRPr="003C7C86">
        <w:rPr>
          <w:vertAlign w:val="subscript"/>
        </w:rPr>
        <w:t xml:space="preserve"> Week</w:t>
      </w:r>
      <w:r w:rsidRPr="003C7C86">
        <w:t xml:space="preserve"> </w:t>
      </w:r>
      <w:r>
        <w:t>= 0.786</w:t>
      </w:r>
      <w:r w:rsidRPr="003C7C86">
        <w:t>) and within-group follow-up analysis of the effect of ECD performed using estimate of marginal means (</w:t>
      </w:r>
      <w:r w:rsidRPr="003C7C86">
        <w:rPr>
          <w:i/>
          <w:iCs/>
        </w:rPr>
        <w:t>p</w:t>
      </w:r>
      <w:r w:rsidRPr="003C7C86">
        <w:rPr>
          <w:vertAlign w:val="subscript"/>
        </w:rPr>
        <w:t>WT</w:t>
      </w:r>
      <w:r w:rsidRPr="003C7C86">
        <w:t xml:space="preserve"> </w:t>
      </w:r>
      <w:r>
        <w:t>=</w:t>
      </w:r>
      <w:r w:rsidRPr="003C7C86">
        <w:t xml:space="preserve"> 0.</w:t>
      </w:r>
      <w:r>
        <w:t>155</w:t>
      </w:r>
      <w:r w:rsidRPr="003C7C86">
        <w:t xml:space="preserve">; </w:t>
      </w:r>
      <w:r w:rsidRPr="003C7C86">
        <w:rPr>
          <w:i/>
          <w:iCs/>
        </w:rPr>
        <w:t>p</w:t>
      </w:r>
      <w:r w:rsidRPr="003C7C86">
        <w:rPr>
          <w:vertAlign w:val="subscript"/>
        </w:rPr>
        <w:t>KO</w:t>
      </w:r>
      <w:r w:rsidRPr="003C7C86">
        <w:t xml:space="preserve"> = 0</w:t>
      </w:r>
      <w:r>
        <w:t>.412</w:t>
      </w:r>
      <w:r w:rsidRPr="003C7C86">
        <w:t>).</w:t>
      </w:r>
      <w:r>
        <w:t xml:space="preserve"> </w:t>
      </w:r>
      <w:r w:rsidRPr="00191C23">
        <w:rPr>
          <w:i/>
          <w:iCs/>
        </w:rPr>
        <w:t>n</w:t>
      </w:r>
      <w:r>
        <w:t xml:space="preserve"> </w:t>
      </w:r>
      <w:r w:rsidRPr="0073080F">
        <w:t>=</w:t>
      </w:r>
      <w:r>
        <w:t xml:space="preserve"> </w:t>
      </w:r>
      <w:r w:rsidRPr="0073080F">
        <w:t>5</w:t>
      </w:r>
      <w:r>
        <w:t>7-69</w:t>
      </w:r>
      <w:r w:rsidRPr="0073080F">
        <w:t>/genotype/</w:t>
      </w:r>
      <w:r>
        <w:t xml:space="preserve">experimental </w:t>
      </w:r>
      <w:r w:rsidRPr="0073080F">
        <w:t>condition/week</w:t>
      </w:r>
      <w:r>
        <w:t xml:space="preserve">. </w:t>
      </w:r>
    </w:p>
    <w:p w14:paraId="6D169897" w14:textId="77777777" w:rsidR="005E6275" w:rsidRDefault="005E6275" w:rsidP="005E6275">
      <w:pPr>
        <w:spacing w:line="480" w:lineRule="auto"/>
        <w:jc w:val="both"/>
      </w:pPr>
    </w:p>
    <w:p w14:paraId="16E8C953" w14:textId="77777777" w:rsidR="005E6275" w:rsidRDefault="005E6275" w:rsidP="005E6275">
      <w:pPr>
        <w:rPr>
          <w:b/>
          <w:bCs/>
        </w:rPr>
      </w:pPr>
      <w:r>
        <w:rPr>
          <w:b/>
          <w:bCs/>
        </w:rPr>
        <w:br w:type="page"/>
      </w:r>
    </w:p>
    <w:p w14:paraId="7B80415A" w14:textId="77777777" w:rsidR="005E6275" w:rsidRPr="00B54759" w:rsidRDefault="005E6275" w:rsidP="005E6275">
      <w:pPr>
        <w:spacing w:line="480" w:lineRule="auto"/>
        <w:jc w:val="both"/>
        <w:rPr>
          <w:b/>
          <w:bCs/>
        </w:rPr>
      </w:pPr>
      <w:r w:rsidRPr="00B54759">
        <w:rPr>
          <w:b/>
          <w:bCs/>
        </w:rPr>
        <w:lastRenderedPageBreak/>
        <w:t xml:space="preserve">Figure S3: </w:t>
      </w:r>
      <w:r>
        <w:rPr>
          <w:b/>
          <w:bCs/>
        </w:rPr>
        <w:t>ECD alters some, but not all, metabolic related hormones in a CB1r-dependent manner, related to Figures 1 and 6</w:t>
      </w:r>
    </w:p>
    <w:p w14:paraId="02580F7D" w14:textId="77777777" w:rsidR="005E6275" w:rsidRDefault="005E6275" w:rsidP="005E6275">
      <w:pPr>
        <w:spacing w:line="480" w:lineRule="auto"/>
        <w:jc w:val="both"/>
      </w:pPr>
      <w:r w:rsidRPr="00B54759">
        <w:rPr>
          <w:b/>
          <w:bCs/>
        </w:rPr>
        <w:t>A and B:</w:t>
      </w:r>
      <w:r>
        <w:t xml:space="preserve"> Results of the Millipore Mouse Metabolic Hormone Expanded Panel performed on plasma of global CB1r (A) and L-CB1r (B) WT and KO males collected at ZT 12. Main effects or interactions are reported within figure. Significant interaction between genotype and ECD denoted by “#”, significant post-hoc t-test indicated by “*”. </w:t>
      </w:r>
      <w:r w:rsidRPr="001E76B2">
        <w:rPr>
          <w:i/>
          <w:iCs/>
        </w:rPr>
        <w:t>n</w:t>
      </w:r>
      <w:r>
        <w:t xml:space="preserve"> = 7-9/genotype/experimental condition.</w:t>
      </w:r>
    </w:p>
    <w:p w14:paraId="0756D035" w14:textId="77777777" w:rsidR="005E6275" w:rsidRDefault="005E6275" w:rsidP="005E6275">
      <w:pPr>
        <w:spacing w:line="480" w:lineRule="auto"/>
        <w:jc w:val="both"/>
        <w:rPr>
          <w:b/>
          <w:bCs/>
        </w:rPr>
      </w:pPr>
      <w:r w:rsidRPr="00B54759">
        <w:rPr>
          <w:b/>
          <w:bCs/>
        </w:rPr>
        <w:t>C and D:</w:t>
      </w:r>
      <w:r w:rsidRPr="007A2AFF">
        <w:t xml:space="preserve"> Triglyceride concentration from a sample of whole liver tissue</w:t>
      </w:r>
      <w:r w:rsidRPr="00DD1B16">
        <w:t xml:space="preserve"> </w:t>
      </w:r>
      <w:r>
        <w:t xml:space="preserve">from </w:t>
      </w:r>
      <w:r w:rsidRPr="00DD1B16">
        <w:t>global CB1r (C</w:t>
      </w:r>
      <w:r>
        <w:t xml:space="preserve">; </w:t>
      </w:r>
      <w:r w:rsidRPr="00EA6C16">
        <w:rPr>
          <w:i/>
          <w:iCs/>
        </w:rPr>
        <w:t>p</w:t>
      </w:r>
      <w:r>
        <w:rPr>
          <w:vertAlign w:val="subscript"/>
        </w:rPr>
        <w:t>I</w:t>
      </w:r>
      <w:r w:rsidRPr="00EA6C16">
        <w:rPr>
          <w:vertAlign w:val="subscript"/>
        </w:rPr>
        <w:t>nt</w:t>
      </w:r>
      <w:r>
        <w:t xml:space="preserve"> = 0.485, </w:t>
      </w:r>
      <w:r w:rsidRPr="00EA6C16">
        <w:rPr>
          <w:i/>
          <w:iCs/>
        </w:rPr>
        <w:t>p</w:t>
      </w:r>
      <w:r>
        <w:rPr>
          <w:vertAlign w:val="subscript"/>
        </w:rPr>
        <w:t>G</w:t>
      </w:r>
      <w:r w:rsidRPr="00EA6C16">
        <w:rPr>
          <w:vertAlign w:val="subscript"/>
        </w:rPr>
        <w:t>eno</w:t>
      </w:r>
      <w:r>
        <w:t xml:space="preserve"> = 0.008</w:t>
      </w:r>
      <w:r w:rsidRPr="00DD1B16">
        <w:t>) and L-CB1r (D</w:t>
      </w:r>
      <w:r>
        <w:t xml:space="preserve">; </w:t>
      </w:r>
      <w:r w:rsidRPr="00EA6C16">
        <w:rPr>
          <w:i/>
          <w:iCs/>
        </w:rPr>
        <w:t>p</w:t>
      </w:r>
      <w:r>
        <w:rPr>
          <w:vertAlign w:val="subscript"/>
        </w:rPr>
        <w:t>I</w:t>
      </w:r>
      <w:r w:rsidRPr="00EA6C16">
        <w:rPr>
          <w:vertAlign w:val="subscript"/>
        </w:rPr>
        <w:t>nt</w:t>
      </w:r>
      <w:r>
        <w:t xml:space="preserve"> = 0.458, </w:t>
      </w:r>
      <w:r w:rsidRPr="00EA6C16">
        <w:rPr>
          <w:i/>
          <w:iCs/>
        </w:rPr>
        <w:t>p</w:t>
      </w:r>
      <w:r>
        <w:rPr>
          <w:vertAlign w:val="subscript"/>
        </w:rPr>
        <w:t>G</w:t>
      </w:r>
      <w:r w:rsidRPr="00EA6C16">
        <w:rPr>
          <w:vertAlign w:val="subscript"/>
        </w:rPr>
        <w:t>eno</w:t>
      </w:r>
      <w:r>
        <w:t xml:space="preserve"> = 0.528</w:t>
      </w:r>
      <w:r w:rsidRPr="00DD1B16">
        <w:t xml:space="preserve">) </w:t>
      </w:r>
      <w:r>
        <w:t>WT and KO males</w:t>
      </w:r>
      <w:r w:rsidRPr="00DD1B16">
        <w:t>.</w:t>
      </w:r>
      <w:r>
        <w:rPr>
          <w:b/>
          <w:bCs/>
        </w:rPr>
        <w:t xml:space="preserve"> </w:t>
      </w:r>
      <w:r w:rsidRPr="004E4BB0">
        <w:rPr>
          <w:i/>
          <w:iCs/>
        </w:rPr>
        <w:t>n</w:t>
      </w:r>
      <w:r w:rsidRPr="004E4BB0">
        <w:t xml:space="preserve"> = 6</w:t>
      </w:r>
      <w:r>
        <w:t>-</w:t>
      </w:r>
      <w:r w:rsidRPr="004E4BB0">
        <w:t>9/genotype/experimental condition.</w:t>
      </w:r>
    </w:p>
    <w:p w14:paraId="287E31A9" w14:textId="77777777" w:rsidR="005E6275" w:rsidRDefault="005E6275" w:rsidP="005E6275">
      <w:pPr>
        <w:spacing w:line="480" w:lineRule="auto"/>
        <w:jc w:val="both"/>
        <w:rPr>
          <w:b/>
          <w:bCs/>
        </w:rPr>
      </w:pPr>
      <w:r>
        <w:t>*</w:t>
      </w:r>
      <w:r w:rsidRPr="005155AC">
        <w:rPr>
          <w:i/>
          <w:iCs/>
        </w:rPr>
        <w:t>p</w:t>
      </w:r>
      <w:r>
        <w:t xml:space="preserve"> &lt; 0.05, **</w:t>
      </w:r>
      <w:r w:rsidRPr="005155AC">
        <w:rPr>
          <w:i/>
          <w:iCs/>
        </w:rPr>
        <w:t>p</w:t>
      </w:r>
      <w:r>
        <w:t xml:space="preserve"> &lt; 0.01, ***</w:t>
      </w:r>
      <w:r w:rsidRPr="005155AC">
        <w:rPr>
          <w:i/>
          <w:iCs/>
        </w:rPr>
        <w:t>p</w:t>
      </w:r>
      <w:r>
        <w:t xml:space="preserve"> &lt; 0.001.</w:t>
      </w:r>
    </w:p>
    <w:p w14:paraId="0C43F7E8" w14:textId="77777777" w:rsidR="005E6275" w:rsidRDefault="005E6275" w:rsidP="005E6275">
      <w:pPr>
        <w:spacing w:line="480" w:lineRule="auto"/>
        <w:jc w:val="both"/>
        <w:rPr>
          <w:b/>
          <w:bCs/>
        </w:rPr>
      </w:pPr>
    </w:p>
    <w:p w14:paraId="268A2981" w14:textId="77777777" w:rsidR="005E6275" w:rsidRDefault="005E6275" w:rsidP="005E6275">
      <w:pPr>
        <w:rPr>
          <w:b/>
          <w:bCs/>
        </w:rPr>
      </w:pPr>
      <w:r>
        <w:rPr>
          <w:b/>
          <w:bCs/>
        </w:rPr>
        <w:br w:type="page"/>
      </w:r>
    </w:p>
    <w:p w14:paraId="1D670E1F" w14:textId="77777777" w:rsidR="005E6275" w:rsidRDefault="005E6275" w:rsidP="005E6275">
      <w:pPr>
        <w:spacing w:line="480" w:lineRule="auto"/>
        <w:jc w:val="both"/>
        <w:rPr>
          <w:b/>
          <w:bCs/>
        </w:rPr>
      </w:pPr>
      <w:r>
        <w:rPr>
          <w:b/>
          <w:bCs/>
        </w:rPr>
        <w:lastRenderedPageBreak/>
        <w:t xml:space="preserve">Figure S4: ECD does not alter energy intake relative to body weight in WT or CB1r KO males, related to Figure 2. </w:t>
      </w:r>
    </w:p>
    <w:p w14:paraId="15958BB3" w14:textId="77777777" w:rsidR="005E6275" w:rsidRPr="00A6781B" w:rsidRDefault="005E6275" w:rsidP="005E6275">
      <w:pPr>
        <w:spacing w:line="480" w:lineRule="auto"/>
        <w:jc w:val="both"/>
      </w:pPr>
      <w:r w:rsidRPr="006F0313">
        <w:rPr>
          <w:b/>
          <w:bCs/>
        </w:rPr>
        <w:t>A:</w:t>
      </w:r>
      <w:r w:rsidRPr="00A6781B">
        <w:t xml:space="preserve"> </w:t>
      </w:r>
      <w:r>
        <w:t xml:space="preserve">Cumulative energy intake, relative to body weight, under Control (solid lines) or ECD (dashed lines) conditions in WT and CB1r KO mice. </w:t>
      </w:r>
      <w:r w:rsidRPr="003C7C86">
        <w:rPr>
          <w:i/>
          <w:iCs/>
        </w:rPr>
        <w:t>p</w:t>
      </w:r>
      <w:r w:rsidRPr="003C7C86">
        <w:rPr>
          <w:vertAlign w:val="subscript"/>
        </w:rPr>
        <w:t xml:space="preserve">Genotype x </w:t>
      </w:r>
      <w:r>
        <w:rPr>
          <w:vertAlign w:val="subscript"/>
        </w:rPr>
        <w:t>Condition</w:t>
      </w:r>
      <w:r w:rsidRPr="003C7C86">
        <w:rPr>
          <w:vertAlign w:val="subscript"/>
        </w:rPr>
        <w:t xml:space="preserve"> x Week</w:t>
      </w:r>
      <w:r w:rsidRPr="003C7C86">
        <w:t xml:space="preserve"> </w:t>
      </w:r>
      <w:r>
        <w:t xml:space="preserve">= 0.413; </w:t>
      </w:r>
      <w:r w:rsidRPr="003C7C86">
        <w:rPr>
          <w:i/>
          <w:iCs/>
        </w:rPr>
        <w:t>p</w:t>
      </w:r>
      <w:r w:rsidRPr="003C7C86">
        <w:rPr>
          <w:vertAlign w:val="subscript"/>
        </w:rPr>
        <w:t>Genotype x Week</w:t>
      </w:r>
      <w:r>
        <w:t xml:space="preserve"> = 0.094. Data are shown as mean (solid or dashed line) +/- the standard error of the mean (shaded region). </w:t>
      </w:r>
      <w:r w:rsidRPr="00A6781B">
        <w:t xml:space="preserve">For each animal, daily energy intake was </w:t>
      </w:r>
      <w:r>
        <w:t xml:space="preserve">standardized to that mouse’s daily body weight, as recorded by the TSE system. Lines indicate group mean, shaded area indicates standard error of the mean. </w:t>
      </w:r>
    </w:p>
    <w:p w14:paraId="251D1859" w14:textId="77777777" w:rsidR="005E6275" w:rsidRDefault="005E6275" w:rsidP="005E6275">
      <w:pPr>
        <w:spacing w:line="480" w:lineRule="auto"/>
        <w:jc w:val="both"/>
      </w:pPr>
    </w:p>
    <w:p w14:paraId="683BE702" w14:textId="77777777" w:rsidR="005E6275" w:rsidRDefault="005E6275" w:rsidP="005E6275">
      <w:pPr>
        <w:rPr>
          <w:b/>
          <w:bCs/>
        </w:rPr>
      </w:pPr>
      <w:r>
        <w:rPr>
          <w:b/>
          <w:bCs/>
        </w:rPr>
        <w:br w:type="page"/>
      </w:r>
    </w:p>
    <w:p w14:paraId="5D1A23A9" w14:textId="77777777" w:rsidR="005E6275" w:rsidRPr="00631D69" w:rsidRDefault="005E6275" w:rsidP="005E6275">
      <w:pPr>
        <w:spacing w:line="480" w:lineRule="auto"/>
        <w:jc w:val="both"/>
        <w:rPr>
          <w:b/>
          <w:bCs/>
        </w:rPr>
      </w:pPr>
      <w:r w:rsidRPr="00631D69">
        <w:rPr>
          <w:b/>
          <w:bCs/>
        </w:rPr>
        <w:lastRenderedPageBreak/>
        <w:t>Figure S</w:t>
      </w:r>
      <w:r>
        <w:rPr>
          <w:b/>
          <w:bCs/>
        </w:rPr>
        <w:t>5</w:t>
      </w:r>
      <w:r w:rsidRPr="00631D69">
        <w:rPr>
          <w:b/>
          <w:bCs/>
        </w:rPr>
        <w:t xml:space="preserve">: </w:t>
      </w:r>
      <w:r>
        <w:rPr>
          <w:b/>
          <w:bCs/>
        </w:rPr>
        <w:t>Locomotor and feeding rhythms do not align to environmental light cycle in ECD, related to Figure 3.</w:t>
      </w:r>
    </w:p>
    <w:p w14:paraId="4ED6EA27" w14:textId="77777777" w:rsidR="005E6275" w:rsidRDefault="005E6275" w:rsidP="005E6275">
      <w:pPr>
        <w:spacing w:line="480" w:lineRule="auto"/>
        <w:jc w:val="both"/>
      </w:pPr>
      <w:r w:rsidRPr="006F0313">
        <w:rPr>
          <w:b/>
          <w:bCs/>
        </w:rPr>
        <w:t>A:</w:t>
      </w:r>
      <w:r>
        <w:t xml:space="preserve"> Double plotted actograms depicting locomotion and feeding behavior for representative animals across the entire 35-day experiment. Gray background indicates lights-off, white background indicates lights-on. </w:t>
      </w:r>
    </w:p>
    <w:p w14:paraId="25E1B941" w14:textId="77777777" w:rsidR="005E6275" w:rsidRDefault="005E6275" w:rsidP="005E6275">
      <w:pPr>
        <w:spacing w:line="480" w:lineRule="auto"/>
        <w:jc w:val="both"/>
      </w:pPr>
    </w:p>
    <w:p w14:paraId="5F8CB958" w14:textId="77777777" w:rsidR="005E6275" w:rsidRDefault="005E6275" w:rsidP="005E6275">
      <w:pPr>
        <w:rPr>
          <w:b/>
          <w:bCs/>
        </w:rPr>
      </w:pPr>
      <w:r>
        <w:rPr>
          <w:b/>
          <w:bCs/>
        </w:rPr>
        <w:br w:type="page"/>
      </w:r>
    </w:p>
    <w:p w14:paraId="34AF50CB" w14:textId="77777777" w:rsidR="005E6275" w:rsidRPr="00002405" w:rsidRDefault="005E6275" w:rsidP="005E6275">
      <w:pPr>
        <w:spacing w:line="480" w:lineRule="auto"/>
        <w:jc w:val="both"/>
        <w:rPr>
          <w:b/>
          <w:bCs/>
        </w:rPr>
      </w:pPr>
      <w:r w:rsidRPr="00002405">
        <w:rPr>
          <w:b/>
          <w:bCs/>
        </w:rPr>
        <w:lastRenderedPageBreak/>
        <w:t>Figure S</w:t>
      </w:r>
      <w:r>
        <w:rPr>
          <w:b/>
          <w:bCs/>
        </w:rPr>
        <w:t>6</w:t>
      </w:r>
      <w:r w:rsidRPr="00002405">
        <w:rPr>
          <w:b/>
          <w:bCs/>
        </w:rPr>
        <w:t xml:space="preserve">: </w:t>
      </w:r>
      <w:r>
        <w:rPr>
          <w:b/>
          <w:bCs/>
        </w:rPr>
        <w:t>Many gene sets were differentially regulated by ECD in WT and L-CB1r KO mice, related to Figure 7.</w:t>
      </w:r>
    </w:p>
    <w:p w14:paraId="44BB3DD5" w14:textId="77777777" w:rsidR="005E6275" w:rsidRDefault="005E6275" w:rsidP="005E6275">
      <w:pPr>
        <w:spacing w:line="480" w:lineRule="auto"/>
        <w:jc w:val="both"/>
      </w:pPr>
      <w:r w:rsidRPr="00A91767">
        <w:rPr>
          <w:b/>
          <w:bCs/>
        </w:rPr>
        <w:t>A:</w:t>
      </w:r>
      <w:r>
        <w:t xml:space="preserve"> Heatmap indicating the effect of ECD on gene set score for all gene sets included in the Nanostring Metabolic Pathways Panel. Gene sets were organized in the order of their directed gene score in WTs, from high to low.</w:t>
      </w:r>
    </w:p>
    <w:p w14:paraId="2EC0A45B" w14:textId="77952554" w:rsidR="007366EF" w:rsidRPr="005E6275" w:rsidRDefault="007366EF" w:rsidP="005E6275"/>
    <w:sectPr w:rsidR="007366EF" w:rsidRPr="005E62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BB5"/>
    <w:rsid w:val="0042704D"/>
    <w:rsid w:val="00540F86"/>
    <w:rsid w:val="005E6275"/>
    <w:rsid w:val="006E6B6E"/>
    <w:rsid w:val="0073432F"/>
    <w:rsid w:val="007366EF"/>
    <w:rsid w:val="0077145E"/>
    <w:rsid w:val="00797B63"/>
    <w:rsid w:val="008B15CC"/>
    <w:rsid w:val="00953BE8"/>
    <w:rsid w:val="00A73722"/>
    <w:rsid w:val="00AF20ED"/>
    <w:rsid w:val="00AF3136"/>
    <w:rsid w:val="00B66B81"/>
    <w:rsid w:val="00C40BB5"/>
    <w:rsid w:val="00D573F2"/>
    <w:rsid w:val="00EE4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20A7AF"/>
  <w15:chartTrackingRefBased/>
  <w15:docId w15:val="{FEBE87D9-37E6-EB47-B466-627709F37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3F2"/>
    <w:pPr>
      <w:spacing w:after="0" w:line="240" w:lineRule="auto"/>
    </w:pPr>
  </w:style>
  <w:style w:type="paragraph" w:styleId="Heading1">
    <w:name w:val="heading 1"/>
    <w:basedOn w:val="Normal"/>
    <w:next w:val="Normal"/>
    <w:link w:val="Heading1Char"/>
    <w:uiPriority w:val="9"/>
    <w:qFormat/>
    <w:rsid w:val="00C40BB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0BB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0BB5"/>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0BB5"/>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0BB5"/>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0BB5"/>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BB5"/>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BB5"/>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BB5"/>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B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0B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0B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0B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0B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0B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B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B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BB5"/>
    <w:rPr>
      <w:rFonts w:eastAsiaTheme="majorEastAsia" w:cstheme="majorBidi"/>
      <w:color w:val="272727" w:themeColor="text1" w:themeTint="D8"/>
    </w:rPr>
  </w:style>
  <w:style w:type="paragraph" w:styleId="Title">
    <w:name w:val="Title"/>
    <w:basedOn w:val="Normal"/>
    <w:next w:val="Normal"/>
    <w:link w:val="TitleChar"/>
    <w:uiPriority w:val="10"/>
    <w:qFormat/>
    <w:rsid w:val="00C40B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B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BB5"/>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B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BB5"/>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C40BB5"/>
    <w:rPr>
      <w:i/>
      <w:iCs/>
      <w:color w:val="404040" w:themeColor="text1" w:themeTint="BF"/>
    </w:rPr>
  </w:style>
  <w:style w:type="paragraph" w:styleId="ListParagraph">
    <w:name w:val="List Paragraph"/>
    <w:basedOn w:val="Normal"/>
    <w:uiPriority w:val="34"/>
    <w:qFormat/>
    <w:rsid w:val="00C40BB5"/>
    <w:pPr>
      <w:spacing w:after="160" w:line="278" w:lineRule="auto"/>
      <w:ind w:left="720"/>
      <w:contextualSpacing/>
    </w:pPr>
  </w:style>
  <w:style w:type="character" w:styleId="IntenseEmphasis">
    <w:name w:val="Intense Emphasis"/>
    <w:basedOn w:val="DefaultParagraphFont"/>
    <w:uiPriority w:val="21"/>
    <w:qFormat/>
    <w:rsid w:val="00C40BB5"/>
    <w:rPr>
      <w:i/>
      <w:iCs/>
      <w:color w:val="0F4761" w:themeColor="accent1" w:themeShade="BF"/>
    </w:rPr>
  </w:style>
  <w:style w:type="paragraph" w:styleId="IntenseQuote">
    <w:name w:val="Intense Quote"/>
    <w:basedOn w:val="Normal"/>
    <w:next w:val="Normal"/>
    <w:link w:val="IntenseQuoteChar"/>
    <w:uiPriority w:val="30"/>
    <w:qFormat/>
    <w:rsid w:val="00C40BB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0BB5"/>
    <w:rPr>
      <w:i/>
      <w:iCs/>
      <w:color w:val="0F4761" w:themeColor="accent1" w:themeShade="BF"/>
    </w:rPr>
  </w:style>
  <w:style w:type="character" w:styleId="IntenseReference">
    <w:name w:val="Intense Reference"/>
    <w:basedOn w:val="DefaultParagraphFont"/>
    <w:uiPriority w:val="32"/>
    <w:qFormat/>
    <w:rsid w:val="00C40B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527</Words>
  <Characters>3006</Characters>
  <Application>Microsoft Office Word</Application>
  <DocSecurity>0</DocSecurity>
  <Lines>25</Lines>
  <Paragraphs>7</Paragraphs>
  <ScaleCrop>false</ScaleCrop>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Brennan Baca</dc:creator>
  <cp:keywords/>
  <dc:description/>
  <cp:lastModifiedBy>Brennan Baca</cp:lastModifiedBy>
  <cp:revision>6</cp:revision>
  <dcterms:created xsi:type="dcterms:W3CDTF">2025-09-23T16:54:00Z</dcterms:created>
  <dcterms:modified xsi:type="dcterms:W3CDTF">2025-09-26T12:49:00Z</dcterms:modified>
</cp:coreProperties>
</file>