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7F93B" w14:textId="3476915B" w:rsidR="008A6C8D" w:rsidRPr="00234BCC" w:rsidRDefault="007A5969" w:rsidP="00234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 for the article </w:t>
      </w:r>
      <w:r w:rsidR="005510FD" w:rsidRPr="00234BC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234BCC">
        <w:rPr>
          <w:rFonts w:ascii="Times New Roman" w:hAnsi="Times New Roman" w:cs="Times New Roman"/>
          <w:b/>
          <w:bCs/>
          <w:sz w:val="24"/>
          <w:szCs w:val="24"/>
        </w:rPr>
        <w:t xml:space="preserve">Inflammation and 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Cellular </w:t>
      </w:r>
      <w:r w:rsidR="00234B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tress </w:t>
      </w:r>
      <w:r w:rsidR="00234BC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nduced </w:t>
      </w:r>
      <w:r w:rsidR="00234BC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eurological </w:t>
      </w:r>
      <w:r w:rsidR="00234B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equelae of </w:t>
      </w:r>
      <w:r w:rsidR="00234BCC" w:rsidRPr="00234B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Plasmodium </w:t>
      </w:r>
      <w:r w:rsidR="00194239" w:rsidRPr="00234B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falciparum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4BC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194239" w:rsidRPr="00234BCC">
        <w:rPr>
          <w:rFonts w:ascii="Times New Roman" w:hAnsi="Times New Roman" w:cs="Times New Roman"/>
          <w:b/>
          <w:bCs/>
          <w:sz w:val="24"/>
          <w:szCs w:val="24"/>
        </w:rPr>
        <w:t>alaria</w:t>
      </w:r>
      <w:r w:rsidR="005510FD" w:rsidRPr="00234BCC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FD918B8" w14:textId="77777777" w:rsidR="00510B88" w:rsidRPr="00234BCC" w:rsidRDefault="00510B88" w:rsidP="00510B88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34BCC">
        <w:rPr>
          <w:rFonts w:ascii="Times New Roman" w:hAnsi="Times New Roman" w:cs="Times New Roman"/>
          <w:bCs/>
          <w:iCs/>
          <w:sz w:val="24"/>
          <w:szCs w:val="24"/>
        </w:rPr>
        <w:t>Akua A. Karikari</w:t>
      </w:r>
      <w:r w:rsidRPr="00234BCC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1,3</w:t>
      </w:r>
      <w:r w:rsidRPr="00234BCC">
        <w:rPr>
          <w:rFonts w:ascii="Times New Roman" w:hAnsi="Times New Roman" w:cs="Times New Roman"/>
          <w:bCs/>
          <w:iCs/>
          <w:sz w:val="24"/>
          <w:szCs w:val="24"/>
        </w:rPr>
        <w:t>, Wasco Wruck</w:t>
      </w:r>
      <w:r w:rsidRPr="00234BCC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2,3</w:t>
      </w:r>
      <w:r w:rsidRPr="00234BCC">
        <w:rPr>
          <w:rFonts w:ascii="Times New Roman" w:hAnsi="Times New Roman" w:cs="Times New Roman"/>
          <w:bCs/>
          <w:iCs/>
          <w:sz w:val="24"/>
          <w:szCs w:val="24"/>
        </w:rPr>
        <w:t xml:space="preserve"> and James Adjaye</w:t>
      </w:r>
      <w:r w:rsidRPr="00234BCC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234BCC">
        <w:rPr>
          <w:rFonts w:ascii="Times New Roman" w:hAnsi="Times New Roman" w:cs="Times New Roman"/>
          <w:bCs/>
          <w:iCs/>
          <w:sz w:val="24"/>
          <w:szCs w:val="24"/>
        </w:rPr>
        <w:t>*</w:t>
      </w:r>
    </w:p>
    <w:p w14:paraId="0696328C" w14:textId="77777777" w:rsidR="00510B88" w:rsidRPr="00234BCC" w:rsidRDefault="00510B88" w:rsidP="00510B88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34BCC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</w:t>
      </w:r>
      <w:r w:rsidRPr="00234BCC">
        <w:rPr>
          <w:rFonts w:ascii="Times New Roman" w:hAnsi="Times New Roman" w:cs="Times New Roman"/>
          <w:bCs/>
          <w:iCs/>
          <w:sz w:val="24"/>
          <w:szCs w:val="24"/>
        </w:rPr>
        <w:t>Department of Biomedical Sciences, College of Health and Allied Sciences, University of Cape Coast, Ghana</w:t>
      </w:r>
    </w:p>
    <w:p w14:paraId="4B1DE752" w14:textId="77777777" w:rsidR="00510B88" w:rsidRPr="00234BCC" w:rsidRDefault="00510B88" w:rsidP="00510B88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34BCC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</w:t>
      </w:r>
      <w:r w:rsidRPr="00234BCC">
        <w:rPr>
          <w:rFonts w:ascii="Times New Roman" w:hAnsi="Times New Roman" w:cs="Times New Roman"/>
          <w:bCs/>
          <w:iCs/>
          <w:sz w:val="24"/>
          <w:szCs w:val="24"/>
        </w:rPr>
        <w:t>Institute for Stem Cell Research and Regenerative Medicine, Medical Faculty, Heinrich-Heine University, 40225 Düsseldorf, Germany</w:t>
      </w:r>
    </w:p>
    <w:p w14:paraId="5540130C" w14:textId="77777777" w:rsidR="00510B88" w:rsidRPr="00234BCC" w:rsidRDefault="00510B88" w:rsidP="00510B88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34BCC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3</w:t>
      </w:r>
      <w:r w:rsidRPr="00234BCC">
        <w:rPr>
          <w:rFonts w:ascii="Times New Roman" w:hAnsi="Times New Roman" w:cs="Times New Roman"/>
          <w:bCs/>
          <w:iCs/>
          <w:sz w:val="24"/>
          <w:szCs w:val="24"/>
        </w:rPr>
        <w:t>Akua A. Karikari and Wasco Wruck contributed equally to this work.</w:t>
      </w:r>
    </w:p>
    <w:p w14:paraId="1627A088" w14:textId="77777777" w:rsidR="00510B88" w:rsidRPr="00234BCC" w:rsidRDefault="00510B88" w:rsidP="00510B88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34BCC">
        <w:rPr>
          <w:rFonts w:ascii="Times New Roman" w:hAnsi="Times New Roman" w:cs="Times New Roman"/>
          <w:bCs/>
          <w:iCs/>
          <w:sz w:val="24"/>
          <w:szCs w:val="24"/>
        </w:rPr>
        <w:t>*Correspondence: james.adjaye@med.uni-duesseldorf.de</w:t>
      </w:r>
    </w:p>
    <w:p w14:paraId="1C7EF2E6" w14:textId="77777777" w:rsidR="00510B88" w:rsidRPr="00234BCC" w:rsidRDefault="00510B88">
      <w:pPr>
        <w:rPr>
          <w:rFonts w:ascii="Times New Roman" w:hAnsi="Times New Roman" w:cs="Times New Roman"/>
          <w:b/>
          <w:bCs/>
        </w:rPr>
      </w:pPr>
    </w:p>
    <w:p w14:paraId="7318353F" w14:textId="02BFB278" w:rsidR="007A5969" w:rsidRPr="00234BCC" w:rsidRDefault="007A5969">
      <w:pPr>
        <w:rPr>
          <w:rFonts w:ascii="Times New Roman" w:hAnsi="Times New Roman" w:cs="Times New Roman"/>
        </w:rPr>
      </w:pPr>
    </w:p>
    <w:p w14:paraId="04D0BFA7" w14:textId="7B8454B4" w:rsidR="007A5969" w:rsidRPr="00234BCC" w:rsidRDefault="007A5969" w:rsidP="007A5969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F70F31" w:rsidRPr="00234BCC">
        <w:rPr>
          <w:rFonts w:ascii="Times New Roman" w:hAnsi="Times New Roman" w:cs="Times New Roman"/>
          <w:b/>
          <w:bCs/>
          <w:sz w:val="24"/>
          <w:szCs w:val="24"/>
        </w:rPr>
        <w:t xml:space="preserve"> (external file tableS1.xlsx)</w:t>
      </w:r>
      <w:r w:rsidRPr="00234BCC">
        <w:rPr>
          <w:rFonts w:ascii="Times New Roman" w:hAnsi="Times New Roman" w:cs="Times New Roman"/>
          <w:b/>
          <w:bCs/>
          <w:sz w:val="24"/>
          <w:szCs w:val="24"/>
        </w:rPr>
        <w:t>: Venn diagram analysis of CM, NCM and MM.</w:t>
      </w:r>
      <w:r w:rsidRPr="00234BCC">
        <w:rPr>
          <w:rFonts w:ascii="Times New Roman" w:hAnsi="Times New Roman" w:cs="Times New Roman"/>
          <w:sz w:val="24"/>
          <w:szCs w:val="24"/>
        </w:rPr>
        <w:t xml:space="preserve"> (a) subsets of genes in the </w:t>
      </w:r>
      <w:r w:rsidR="00685B54">
        <w:rPr>
          <w:rFonts w:ascii="Times New Roman" w:hAnsi="Times New Roman" w:cs="Times New Roman"/>
          <w:sz w:val="24"/>
          <w:szCs w:val="24"/>
        </w:rPr>
        <w:t>V</w:t>
      </w:r>
      <w:r w:rsidRPr="00234BCC">
        <w:rPr>
          <w:rFonts w:ascii="Times New Roman" w:hAnsi="Times New Roman" w:cs="Times New Roman"/>
          <w:sz w:val="24"/>
          <w:szCs w:val="24"/>
        </w:rPr>
        <w:t xml:space="preserve">enn diagram, (b) GO analysis results from the </w:t>
      </w:r>
      <w:r w:rsidR="00C5751A" w:rsidRPr="00234BCC">
        <w:rPr>
          <w:rFonts w:ascii="Times New Roman" w:hAnsi="Times New Roman" w:cs="Times New Roman"/>
          <w:sz w:val="24"/>
          <w:szCs w:val="24"/>
        </w:rPr>
        <w:t>77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expressed exclusively in CM, (c) GO analysis results from the </w:t>
      </w:r>
      <w:r w:rsidR="00C5751A" w:rsidRPr="00234BCC">
        <w:rPr>
          <w:rFonts w:ascii="Times New Roman" w:hAnsi="Times New Roman" w:cs="Times New Roman"/>
          <w:sz w:val="24"/>
          <w:szCs w:val="24"/>
        </w:rPr>
        <w:t>289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expressed</w:t>
      </w:r>
      <w:r w:rsidR="000A7683">
        <w:rPr>
          <w:rFonts w:ascii="Times New Roman" w:hAnsi="Times New Roman" w:cs="Times New Roman"/>
          <w:sz w:val="24"/>
          <w:szCs w:val="24"/>
        </w:rPr>
        <w:t xml:space="preserve"> </w:t>
      </w:r>
      <w:r w:rsidRPr="00234BCC">
        <w:rPr>
          <w:rFonts w:ascii="Times New Roman" w:hAnsi="Times New Roman" w:cs="Times New Roman"/>
          <w:sz w:val="24"/>
          <w:szCs w:val="24"/>
        </w:rPr>
        <w:t xml:space="preserve">exclusively in NCM, (d) GO analysis results from the </w:t>
      </w:r>
      <w:r w:rsidR="00C5751A" w:rsidRPr="00234BCC">
        <w:rPr>
          <w:rFonts w:ascii="Times New Roman" w:hAnsi="Times New Roman" w:cs="Times New Roman"/>
          <w:sz w:val="24"/>
          <w:szCs w:val="24"/>
        </w:rPr>
        <w:t>66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expressed exclusively in MM, (e) KEGG analysis results from the </w:t>
      </w:r>
      <w:r w:rsidR="00C5751A" w:rsidRPr="00234BCC">
        <w:rPr>
          <w:rFonts w:ascii="Times New Roman" w:hAnsi="Times New Roman" w:cs="Times New Roman"/>
          <w:sz w:val="24"/>
          <w:szCs w:val="24"/>
        </w:rPr>
        <w:t>77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expressed exclusively in CM, (f) KEGG analysis results from the </w:t>
      </w:r>
      <w:r w:rsidR="00C5751A" w:rsidRPr="00234BCC">
        <w:rPr>
          <w:rFonts w:ascii="Times New Roman" w:hAnsi="Times New Roman" w:cs="Times New Roman"/>
          <w:sz w:val="24"/>
          <w:szCs w:val="24"/>
        </w:rPr>
        <w:t>289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expressed exclusively in </w:t>
      </w:r>
      <w:r w:rsidR="008F57C7" w:rsidRPr="00234BCC">
        <w:rPr>
          <w:rFonts w:ascii="Times New Roman" w:hAnsi="Times New Roman" w:cs="Times New Roman"/>
          <w:sz w:val="24"/>
          <w:szCs w:val="24"/>
        </w:rPr>
        <w:t>N</w:t>
      </w:r>
      <w:r w:rsidRPr="00234BCC">
        <w:rPr>
          <w:rFonts w:ascii="Times New Roman" w:hAnsi="Times New Roman" w:cs="Times New Roman"/>
          <w:sz w:val="24"/>
          <w:szCs w:val="24"/>
        </w:rPr>
        <w:t xml:space="preserve">CM, (g) KEGG analysis results from the </w:t>
      </w:r>
      <w:r w:rsidR="00C5751A" w:rsidRPr="00234BCC">
        <w:rPr>
          <w:rFonts w:ascii="Times New Roman" w:hAnsi="Times New Roman" w:cs="Times New Roman"/>
          <w:sz w:val="24"/>
          <w:szCs w:val="24"/>
        </w:rPr>
        <w:t>66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expressed exclusively in </w:t>
      </w:r>
      <w:r w:rsidR="008F57C7" w:rsidRPr="00234BCC">
        <w:rPr>
          <w:rFonts w:ascii="Times New Roman" w:hAnsi="Times New Roman" w:cs="Times New Roman"/>
          <w:sz w:val="24"/>
          <w:szCs w:val="24"/>
        </w:rPr>
        <w:t>M</w:t>
      </w:r>
      <w:r w:rsidRPr="00234BCC">
        <w:rPr>
          <w:rFonts w:ascii="Times New Roman" w:hAnsi="Times New Roman" w:cs="Times New Roman"/>
          <w:sz w:val="24"/>
          <w:szCs w:val="24"/>
        </w:rPr>
        <w:t>M. GO analysis results are sorted by the top GO categories Biological Process (BP), Cellular Component (CC) and Molecular Function (MF)</w:t>
      </w:r>
      <w:r w:rsidR="00F70F31" w:rsidRPr="00234BCC">
        <w:rPr>
          <w:rFonts w:ascii="Times New Roman" w:hAnsi="Times New Roman" w:cs="Times New Roman"/>
          <w:sz w:val="24"/>
          <w:szCs w:val="24"/>
        </w:rPr>
        <w:t xml:space="preserve"> and within these categories by p-value.</w:t>
      </w:r>
    </w:p>
    <w:p w14:paraId="63F6A987" w14:textId="77777777" w:rsidR="00F70F31" w:rsidRPr="00234BCC" w:rsidRDefault="00F70F31" w:rsidP="007A5969">
      <w:pPr>
        <w:rPr>
          <w:rFonts w:ascii="Times New Roman" w:hAnsi="Times New Roman" w:cs="Times New Roman"/>
          <w:sz w:val="24"/>
          <w:szCs w:val="24"/>
        </w:rPr>
      </w:pPr>
    </w:p>
    <w:p w14:paraId="0DF6A0A3" w14:textId="3E603142" w:rsidR="00F70F31" w:rsidRPr="00234BCC" w:rsidRDefault="00F70F31" w:rsidP="00F70F31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b/>
          <w:bCs/>
          <w:sz w:val="24"/>
          <w:szCs w:val="24"/>
        </w:rPr>
        <w:t>Supplementary table 2 (external file tableS2.xlsx): Differential expression analysis of CM vs. NCM.</w:t>
      </w:r>
      <w:r w:rsidRPr="00234BCC">
        <w:rPr>
          <w:rFonts w:ascii="Times New Roman" w:hAnsi="Times New Roman" w:cs="Times New Roman"/>
          <w:sz w:val="24"/>
          <w:szCs w:val="24"/>
        </w:rPr>
        <w:t xml:space="preserve"> (a) genes significantly up-regulated (ratio &gt; 2, p &lt; 0.05</w:t>
      </w:r>
      <w:r w:rsidR="00C5751A" w:rsidRPr="00234BCC">
        <w:rPr>
          <w:rFonts w:ascii="Times New Roman" w:hAnsi="Times New Roman" w:cs="Times New Roman"/>
          <w:sz w:val="24"/>
          <w:szCs w:val="24"/>
        </w:rPr>
        <w:t>, q &lt; 0.25</w:t>
      </w:r>
      <w:r w:rsidRPr="00234BCC">
        <w:rPr>
          <w:rFonts w:ascii="Times New Roman" w:hAnsi="Times New Roman" w:cs="Times New Roman"/>
          <w:sz w:val="24"/>
          <w:szCs w:val="24"/>
        </w:rPr>
        <w:t>) and down-regulated (ratio &lt; 0.5, p &lt; 0.05</w:t>
      </w:r>
      <w:r w:rsidR="00C5751A" w:rsidRPr="00234BCC">
        <w:rPr>
          <w:rFonts w:ascii="Times New Roman" w:hAnsi="Times New Roman" w:cs="Times New Roman"/>
          <w:sz w:val="24"/>
          <w:szCs w:val="24"/>
        </w:rPr>
        <w:t>, q &lt; 0.25</w:t>
      </w:r>
      <w:r w:rsidRPr="00234BCC">
        <w:rPr>
          <w:rFonts w:ascii="Times New Roman" w:hAnsi="Times New Roman" w:cs="Times New Roman"/>
          <w:sz w:val="24"/>
          <w:szCs w:val="24"/>
        </w:rPr>
        <w:t>), (b) GO analysis results from the genes significantly up-regulated in CM, (c) GO analysis results from the genes significantly down-regulated in CM, (d) KEGG pathway analysis results from the genes significantly up-regulated in CM, (e) KEGG pathway analysis results from the genes significantly down-regulated in CM.</w:t>
      </w:r>
    </w:p>
    <w:p w14:paraId="3488DC92" w14:textId="57550E45" w:rsidR="007A5969" w:rsidRPr="00234BCC" w:rsidRDefault="007A5969" w:rsidP="007A5969">
      <w:pPr>
        <w:rPr>
          <w:rFonts w:ascii="Times New Roman" w:hAnsi="Times New Roman" w:cs="Times New Roman"/>
        </w:rPr>
      </w:pPr>
    </w:p>
    <w:p w14:paraId="3D8268F4" w14:textId="4F012631" w:rsidR="00C5751A" w:rsidRPr="00234BCC" w:rsidRDefault="00C5751A">
      <w:pPr>
        <w:rPr>
          <w:rFonts w:ascii="Times New Roman" w:hAnsi="Times New Roman" w:cs="Times New Roman"/>
          <w:sz w:val="24"/>
          <w:szCs w:val="24"/>
        </w:rPr>
      </w:pPr>
    </w:p>
    <w:p w14:paraId="7A22FF90" w14:textId="052B8FC7" w:rsidR="00C5751A" w:rsidRPr="00234BCC" w:rsidRDefault="00C5751A">
      <w:pPr>
        <w:rPr>
          <w:rFonts w:ascii="Times New Roman" w:hAnsi="Times New Roman" w:cs="Times New Roman"/>
        </w:rPr>
      </w:pPr>
      <w:r w:rsidRPr="00234BC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176E978" wp14:editId="42538193">
            <wp:extent cx="5760720" cy="4109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FAA6" w14:textId="0111322E" w:rsidR="00B36D51" w:rsidRPr="00234BCC" w:rsidRDefault="00B36D51" w:rsidP="00B36D51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b/>
          <w:bCs/>
          <w:sz w:val="24"/>
          <w:szCs w:val="24"/>
        </w:rPr>
        <w:t>Supplementary figure 1: Distribution of log2-ratios of CM vs. NCM.</w:t>
      </w:r>
      <w:r w:rsidRPr="00234BCC">
        <w:rPr>
          <w:rFonts w:ascii="Times New Roman" w:hAnsi="Times New Roman" w:cs="Times New Roman"/>
          <w:sz w:val="24"/>
          <w:szCs w:val="24"/>
        </w:rPr>
        <w:t xml:space="preserve"> A Gaussian distribution curve is overlaid (mean=0, sd=0.36). Red lines indicate ratio of 2 (0.5) and blue lines ratio of </w:t>
      </w:r>
      <w:r w:rsidR="003F152C" w:rsidRPr="00234BCC">
        <w:rPr>
          <w:rFonts w:ascii="Times New Roman" w:hAnsi="Times New Roman" w:cs="Times New Roman"/>
          <w:sz w:val="24"/>
          <w:szCs w:val="24"/>
        </w:rPr>
        <w:t>1.5 (</w:t>
      </w:r>
      <w:r w:rsidRPr="00234BCC">
        <w:rPr>
          <w:rFonts w:ascii="Times New Roman" w:hAnsi="Times New Roman" w:cs="Times New Roman"/>
          <w:sz w:val="24"/>
          <w:szCs w:val="24"/>
        </w:rPr>
        <w:t xml:space="preserve">2/3). The area under curve for ratio </w:t>
      </w:r>
      <w:r w:rsidR="003F152C" w:rsidRPr="00234BCC">
        <w:rPr>
          <w:rFonts w:ascii="Times New Roman" w:hAnsi="Times New Roman" w:cs="Times New Roman"/>
          <w:sz w:val="24"/>
          <w:szCs w:val="24"/>
        </w:rPr>
        <w:t>1.5 and</w:t>
      </w:r>
      <w:r w:rsidRPr="00234BCC">
        <w:rPr>
          <w:rFonts w:ascii="Times New Roman" w:hAnsi="Times New Roman" w:cs="Times New Roman"/>
          <w:sz w:val="24"/>
          <w:szCs w:val="24"/>
        </w:rPr>
        <w:t xml:space="preserve"> 2/3 is ~ 90%, the area for ratio </w:t>
      </w:r>
      <w:r w:rsidR="003F152C" w:rsidRPr="00234BCC">
        <w:rPr>
          <w:rFonts w:ascii="Times New Roman" w:hAnsi="Times New Roman" w:cs="Times New Roman"/>
          <w:sz w:val="24"/>
          <w:szCs w:val="24"/>
        </w:rPr>
        <w:t>2 and</w:t>
      </w:r>
      <w:r w:rsidRPr="00234BCC">
        <w:rPr>
          <w:rFonts w:ascii="Times New Roman" w:hAnsi="Times New Roman" w:cs="Times New Roman"/>
          <w:sz w:val="24"/>
          <w:szCs w:val="24"/>
        </w:rPr>
        <w:t xml:space="preserve"> 0.5 is &gt; 99%.</w:t>
      </w:r>
    </w:p>
    <w:p w14:paraId="232082CE" w14:textId="21FB8DB7" w:rsidR="001E0FD0" w:rsidRPr="00234BCC" w:rsidRDefault="001E0FD0" w:rsidP="00B36D51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88F4F0" wp14:editId="02B5859E">
            <wp:extent cx="5556250" cy="9072245"/>
            <wp:effectExtent l="0" t="0" r="6350" b="0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0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C83E" w14:textId="003E3FAE" w:rsidR="001E0FD0" w:rsidRPr="00234BCC" w:rsidRDefault="001E0FD0" w:rsidP="001E0FD0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2: Heatmap and hierarchical cluster analysis of genes expressed exclusively in CM, MM and NCM.</w:t>
      </w:r>
      <w:r w:rsidRPr="00234BCC">
        <w:rPr>
          <w:rFonts w:ascii="Times New Roman" w:hAnsi="Times New Roman" w:cs="Times New Roman"/>
          <w:sz w:val="24"/>
          <w:szCs w:val="24"/>
        </w:rPr>
        <w:t xml:space="preserve"> Genes from the exclusive subsets from the </w:t>
      </w:r>
      <w:r w:rsidR="00685B54" w:rsidRPr="00234BCC">
        <w:rPr>
          <w:rFonts w:ascii="Times New Roman" w:hAnsi="Times New Roman" w:cs="Times New Roman"/>
          <w:sz w:val="24"/>
          <w:szCs w:val="24"/>
        </w:rPr>
        <w:t>Venn</w:t>
      </w:r>
      <w:r w:rsidRPr="00234BCC">
        <w:rPr>
          <w:rFonts w:ascii="Times New Roman" w:hAnsi="Times New Roman" w:cs="Times New Roman"/>
          <w:sz w:val="24"/>
          <w:szCs w:val="24"/>
        </w:rPr>
        <w:t xml:space="preserve"> diagram depicted in Fi</w:t>
      </w:r>
      <w:r w:rsidR="00685B54">
        <w:rPr>
          <w:rFonts w:ascii="Times New Roman" w:hAnsi="Times New Roman" w:cs="Times New Roman"/>
          <w:sz w:val="24"/>
          <w:szCs w:val="24"/>
        </w:rPr>
        <w:t>g</w:t>
      </w:r>
      <w:r w:rsidRPr="00234BCC">
        <w:rPr>
          <w:rFonts w:ascii="Times New Roman" w:hAnsi="Times New Roman" w:cs="Times New Roman"/>
          <w:sz w:val="24"/>
          <w:szCs w:val="24"/>
        </w:rPr>
        <w:t>ure 2c were used to generate a heatmap and perform a hierarchical cluster analysis using Spearman correlation as similarity measure</w:t>
      </w:r>
      <w:r w:rsidR="00521341" w:rsidRPr="00234BCC">
        <w:rPr>
          <w:rFonts w:ascii="Times New Roman" w:hAnsi="Times New Roman" w:cs="Times New Roman"/>
          <w:sz w:val="24"/>
          <w:szCs w:val="24"/>
        </w:rPr>
        <w:t xml:space="preserve">. Color bars indicate: red – CM, green – MM and </w:t>
      </w:r>
      <w:r w:rsidR="00685B54" w:rsidRPr="00234BCC">
        <w:rPr>
          <w:rFonts w:ascii="Times New Roman" w:hAnsi="Times New Roman" w:cs="Times New Roman"/>
          <w:sz w:val="24"/>
          <w:szCs w:val="24"/>
        </w:rPr>
        <w:t>dark-green</w:t>
      </w:r>
      <w:r w:rsidR="00521341" w:rsidRPr="00234BCC">
        <w:rPr>
          <w:rFonts w:ascii="Times New Roman" w:hAnsi="Times New Roman" w:cs="Times New Roman"/>
          <w:sz w:val="24"/>
          <w:szCs w:val="24"/>
        </w:rPr>
        <w:t xml:space="preserve"> - NCM</w:t>
      </w:r>
      <w:r w:rsidRPr="00234BCC">
        <w:rPr>
          <w:rFonts w:ascii="Times New Roman" w:hAnsi="Times New Roman" w:cs="Times New Roman"/>
          <w:sz w:val="24"/>
          <w:szCs w:val="24"/>
        </w:rPr>
        <w:t>.</w:t>
      </w:r>
    </w:p>
    <w:p w14:paraId="4DADC6DA" w14:textId="38763201" w:rsidR="00521341" w:rsidRPr="00234BCC" w:rsidRDefault="00521341" w:rsidP="001E0FD0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DA4AF3" wp14:editId="6689D8B9">
            <wp:extent cx="5760720" cy="5760720"/>
            <wp:effectExtent l="0" t="0" r="0" b="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EEE4F" w14:textId="3251DE03" w:rsidR="00521341" w:rsidRPr="00234BCC" w:rsidRDefault="00521341" w:rsidP="00521341">
      <w:pPr>
        <w:rPr>
          <w:rFonts w:ascii="Times New Roman" w:hAnsi="Times New Roman" w:cs="Times New Roman"/>
          <w:sz w:val="24"/>
          <w:szCs w:val="24"/>
        </w:rPr>
      </w:pPr>
      <w:r w:rsidRPr="00234BCC">
        <w:rPr>
          <w:rFonts w:ascii="Times New Roman" w:hAnsi="Times New Roman" w:cs="Times New Roman"/>
          <w:b/>
          <w:bCs/>
          <w:sz w:val="24"/>
          <w:szCs w:val="24"/>
        </w:rPr>
        <w:t>Supplementary figure 3: 70 most significant GO terms over-represented in genes down-regulated between CM and NCM.</w:t>
      </w:r>
      <w:r w:rsidRPr="00234BCC">
        <w:rPr>
          <w:rFonts w:ascii="Times New Roman" w:hAnsi="Times New Roman" w:cs="Times New Roman"/>
          <w:sz w:val="24"/>
          <w:szCs w:val="24"/>
        </w:rPr>
        <w:t xml:space="preserve"> Expansion of Figure 3b which </w:t>
      </w:r>
      <w:r w:rsidR="00873A68" w:rsidRPr="00234BCC">
        <w:rPr>
          <w:rFonts w:ascii="Times New Roman" w:hAnsi="Times New Roman" w:cs="Times New Roman"/>
          <w:sz w:val="24"/>
          <w:szCs w:val="24"/>
        </w:rPr>
        <w:t>had been</w:t>
      </w:r>
      <w:r w:rsidRPr="00234BCC">
        <w:rPr>
          <w:rFonts w:ascii="Times New Roman" w:hAnsi="Times New Roman" w:cs="Times New Roman"/>
          <w:sz w:val="24"/>
          <w:szCs w:val="24"/>
        </w:rPr>
        <w:t xml:space="preserve"> reduced to the 30 most significant terms for better readability. Here, all GO (Biological Process) terms below a threshold of 0.01 are depicted, also including </w:t>
      </w:r>
      <w:r w:rsidRPr="00234BCC">
        <w:rPr>
          <w:rFonts w:ascii="Times New Roman" w:hAnsi="Times New Roman" w:cs="Times New Roman"/>
          <w:i/>
          <w:iCs/>
          <w:sz w:val="24"/>
          <w:szCs w:val="24"/>
        </w:rPr>
        <w:t>glutamate metabolic process</w:t>
      </w:r>
      <w:r w:rsidR="00873A68" w:rsidRPr="00234B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73A68" w:rsidRPr="00234BCC">
        <w:rPr>
          <w:rFonts w:ascii="Times New Roman" w:hAnsi="Times New Roman" w:cs="Times New Roman"/>
          <w:sz w:val="24"/>
          <w:szCs w:val="24"/>
        </w:rPr>
        <w:t>(see also suppl. Table 2c)</w:t>
      </w:r>
      <w:r w:rsidRPr="00234BCC">
        <w:rPr>
          <w:rFonts w:ascii="Times New Roman" w:hAnsi="Times New Roman" w:cs="Times New Roman"/>
          <w:sz w:val="24"/>
          <w:szCs w:val="24"/>
        </w:rPr>
        <w:t>.</w:t>
      </w:r>
    </w:p>
    <w:p w14:paraId="29692D47" w14:textId="77777777" w:rsidR="00521341" w:rsidRPr="00234BCC" w:rsidRDefault="00521341" w:rsidP="001E0FD0">
      <w:pPr>
        <w:rPr>
          <w:rFonts w:ascii="Times New Roman" w:hAnsi="Times New Roman" w:cs="Times New Roman"/>
          <w:sz w:val="24"/>
          <w:szCs w:val="24"/>
        </w:rPr>
      </w:pPr>
    </w:p>
    <w:p w14:paraId="4A7874AE" w14:textId="77777777" w:rsidR="001E0FD0" w:rsidRPr="00234BCC" w:rsidRDefault="001E0FD0" w:rsidP="00B36D51">
      <w:pPr>
        <w:rPr>
          <w:rFonts w:ascii="Times New Roman" w:hAnsi="Times New Roman" w:cs="Times New Roman"/>
          <w:sz w:val="24"/>
          <w:szCs w:val="24"/>
        </w:rPr>
      </w:pPr>
    </w:p>
    <w:p w14:paraId="13C47635" w14:textId="77777777" w:rsidR="007A5969" w:rsidRPr="00234BCC" w:rsidRDefault="007A5969">
      <w:pPr>
        <w:rPr>
          <w:rFonts w:ascii="Times New Roman" w:hAnsi="Times New Roman" w:cs="Times New Roman"/>
        </w:rPr>
      </w:pPr>
    </w:p>
    <w:sectPr w:rsidR="007A5969" w:rsidRPr="00234BCC" w:rsidSect="004E7D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69"/>
    <w:rsid w:val="000A7683"/>
    <w:rsid w:val="00194239"/>
    <w:rsid w:val="001E0FD0"/>
    <w:rsid w:val="00234BCC"/>
    <w:rsid w:val="003F152C"/>
    <w:rsid w:val="00412E55"/>
    <w:rsid w:val="004E7DD9"/>
    <w:rsid w:val="00510B88"/>
    <w:rsid w:val="00521341"/>
    <w:rsid w:val="00531888"/>
    <w:rsid w:val="005510FD"/>
    <w:rsid w:val="005D7F0C"/>
    <w:rsid w:val="00685B54"/>
    <w:rsid w:val="00756100"/>
    <w:rsid w:val="007A5969"/>
    <w:rsid w:val="00873A68"/>
    <w:rsid w:val="008A6C8D"/>
    <w:rsid w:val="008B6279"/>
    <w:rsid w:val="008F57C7"/>
    <w:rsid w:val="00902CDE"/>
    <w:rsid w:val="00A31BFB"/>
    <w:rsid w:val="00B36D51"/>
    <w:rsid w:val="00C5751A"/>
    <w:rsid w:val="00F7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FE0FC"/>
  <w15:chartTrackingRefBased/>
  <w15:docId w15:val="{6FAB38F6-64CA-42F5-9BB9-BE7237EE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Wasco Wruck</dc:creator>
  <cp:keywords/>
  <dc:description/>
  <cp:lastModifiedBy>Akua Karikari</cp:lastModifiedBy>
  <cp:revision>17</cp:revision>
  <dcterms:created xsi:type="dcterms:W3CDTF">2021-01-29T09:34:00Z</dcterms:created>
  <dcterms:modified xsi:type="dcterms:W3CDTF">2021-06-15T13:07:00Z</dcterms:modified>
</cp:coreProperties>
</file>