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2FF703" w14:textId="1863B79E" w:rsidR="00CE04B9" w:rsidRPr="00CE04B9" w:rsidRDefault="00CE04B9" w:rsidP="00CE04B9">
      <w:pPr>
        <w:keepNext/>
        <w:keepLines/>
        <w:spacing w:before="40" w:line="360" w:lineRule="auto"/>
        <w:outlineLvl w:val="2"/>
        <w:rPr>
          <w:rFonts w:eastAsia="Arial Unicode MS" w:cs="Arial Unicode MS"/>
          <w:b/>
          <w:bCs/>
          <w:color w:val="000000"/>
          <w:u w:color="000000"/>
          <w:lang w:eastAsia="en-US"/>
        </w:rPr>
      </w:pPr>
      <w:r>
        <w:rPr>
          <w:rFonts w:eastAsia="Arial Unicode MS" w:cs="Arial Unicode MS"/>
          <w:b/>
          <w:bCs/>
          <w:color w:val="000000"/>
          <w:u w:color="000000"/>
          <w:lang w:eastAsia="en-US"/>
        </w:rPr>
        <w:t xml:space="preserve">S1 </w:t>
      </w:r>
      <w:r w:rsidR="00D9769B">
        <w:rPr>
          <w:rFonts w:eastAsia="Arial Unicode MS" w:cs="Arial Unicode MS"/>
          <w:b/>
          <w:bCs/>
          <w:color w:val="000000"/>
          <w:u w:color="000000"/>
          <w:lang w:eastAsia="en-US"/>
        </w:rPr>
        <w:t>Method</w:t>
      </w:r>
      <w:r>
        <w:rPr>
          <w:rFonts w:eastAsia="Arial Unicode MS" w:cs="Arial Unicode MS"/>
          <w:b/>
          <w:bCs/>
          <w:color w:val="000000"/>
          <w:u w:color="000000"/>
          <w:lang w:eastAsia="en-US"/>
        </w:rPr>
        <w:t xml:space="preserve">. </w:t>
      </w:r>
      <w:r w:rsidRPr="00CE04B9">
        <w:rPr>
          <w:rFonts w:eastAsia="Arial Unicode MS" w:cs="Arial Unicode MS"/>
          <w:b/>
          <w:bCs/>
          <w:color w:val="000000"/>
          <w:u w:color="000000"/>
          <w:lang w:eastAsia="en-US"/>
        </w:rPr>
        <w:t>Genotyping, imputation and quality control</w:t>
      </w:r>
    </w:p>
    <w:p w14:paraId="6D23D2CD" w14:textId="77777777" w:rsidR="00CE04B9" w:rsidRPr="00CE04B9" w:rsidRDefault="00CE04B9" w:rsidP="00CE04B9">
      <w:pPr>
        <w:spacing w:line="360" w:lineRule="auto"/>
        <w:rPr>
          <w:rFonts w:eastAsia="Arial Unicode MS" w:cs="Arial Unicode MS"/>
          <w:color w:val="000000"/>
          <w:u w:color="000000"/>
        </w:rPr>
      </w:pPr>
    </w:p>
    <w:p w14:paraId="125B02D4" w14:textId="7325E18C" w:rsidR="00CE04B9" w:rsidRPr="00CE04B9" w:rsidRDefault="00CE04B9" w:rsidP="00CE04B9">
      <w:pPr>
        <w:spacing w:line="360" w:lineRule="auto"/>
      </w:pPr>
      <w:r w:rsidRPr="00CE04B9">
        <w:rPr>
          <w:rFonts w:eastAsia="Arial Unicode MS" w:cs="Arial Unicode MS"/>
          <w:color w:val="000000"/>
          <w:u w:color="000000"/>
        </w:rPr>
        <w:t xml:space="preserve">Participants were genotyped across 22 assessment centres in the UK, using either the Affymetrix UK </w:t>
      </w:r>
      <w:proofErr w:type="spellStart"/>
      <w:r w:rsidRPr="00CE04B9">
        <w:rPr>
          <w:rFonts w:eastAsia="Arial Unicode MS" w:cs="Arial Unicode MS"/>
          <w:color w:val="000000"/>
          <w:u w:color="000000"/>
        </w:rPr>
        <w:t>BiLEVE</w:t>
      </w:r>
      <w:proofErr w:type="spellEnd"/>
      <w:r w:rsidRPr="00CE04B9">
        <w:rPr>
          <w:rFonts w:eastAsia="Arial Unicode MS" w:cs="Arial Unicode MS"/>
          <w:color w:val="000000"/>
          <w:u w:color="000000"/>
        </w:rPr>
        <w:t xml:space="preserve"> Axiom array or the Affymetrix UK Biobank Axiom® array </w:t>
      </w:r>
      <w:r w:rsidRPr="00CE04B9">
        <w:fldChar w:fldCharType="begin" w:fldLock="1"/>
      </w:r>
      <w:r w:rsidR="00BB332E">
        <w:instrText>ADDIN CSL_CITATION {"citationItems":[{"id":"ITEM-1","itemData":{"DOI":"10.1038/s41586-018-0579-z","ISSN":"0028-0836","abstract":"The UK Biobank project is a prospective cohort study with deep genetic and phenotypic data collected on approximately 500,000 individuals from across the United Kingdom, aged between 40 and 69 at recruitment. The open resource is unique in its size and scope. A rich variety of phenotypic and health-related information is available on each participant, including biological measurements, lifestyle indicators, biomarkers in blood and urine, and imaging of the body and brain. Follow-up information is provided by linking health and medical records. Genome-wide genotype data have been collected on all participants, providing many opportunities for the discovery of new genetic associations and the genetic bases of complex traits. Here we describe the centralized analysis of the genetic data, including genotype quality, properties of population structure and relatedness of the genetic data, and efficient phasing and genotype imputation that increases the number of testable variants to around 96 million. Classical allelic variation at 11 human leukocyte antigen genes was imputed, resulting in the recovery of signals with known associations between human leukocyte antigen alleles and many diseases.","author":[{"dropping-particle":"","family":"Bycroft","given":"Clare","non-dropping-particle":"","parse-names":false,"suffix":""},{"dropping-particle":"","family":"Freeman","given":"Colin","non-dropping-particle":"","parse-names":false,"suffix":""},{"dropping-particle":"","family":"Petkova","given":"Desislava","non-dropping-particle":"","parse-names":false,"suffix":""},{"dropping-particle":"","family":"Band","given":"Gavin","non-dropping-particle":"","parse-names":false,"suffix":""},{"dropping-particle":"","family":"Elliott","given":"Lloyd T.","non-dropping-particle":"","parse-names":false,"suffix":""},{"dropping-particle":"","family":"Sharp","given":"Kevin","non-dropping-particle":"","parse-names":false,"suffix":""},{"dropping-particle":"","family":"Motyer","given":"Allan","non-dropping-particle":"","parse-names":false,"suffix":""},{"dropping-particle":"","family":"Vukcevic","given":"Damjan","non-dropping-particle":"","parse-names":false,"suffix":""},{"dropping-particle":"","family":"Delaneau","given":"Olivier","non-dropping-particle":"","parse-names":false,"suffix":""},{"dropping-particle":"","family":"O’Connell","given":"Jared","non-dropping-particle":"","parse-names":false,"suffix":""},{"dropping-particle":"","family":"Cortes","given":"Adrian","non-dropping-particle":"","parse-names":false,"suffix":""},{"dropping-particle":"","family":"Welsh","given":"Samantha","non-dropping-particle":"","parse-names":false,"suffix":""},{"dropping-particle":"","family":"Young","given":"Alan","non-dropping-particle":"","parse-names":false,"suffix":""},{"dropping-particle":"","family":"Effingham","given":"Mark","non-dropping-particle":"","parse-names":false,"suffix":""},{"dropping-particle":"","family":"McVean","given":"Gil","non-dropping-particle":"","parse-names":false,"suffix":""},{"dropping-particle":"","family":"Leslie","given":"Stephen","non-dropping-particle":"","parse-names":false,"suffix":""},{"dropping-particle":"","family":"Allen","given":"Naomi","non-dropping-particle":"","parse-names":false,"suffix":""},{"dropping-particle":"","family":"Donnelly","given":"Peter","non-dropping-particle":"","parse-names":false,"suffix":""},{"dropping-particle":"","family":"Marchini","given":"Jonathan","non-dropping-particle":"","parse-names":false,"suffix":""}],"container-title":"Nature","id":"ITEM-1","issue":"7726","issued":{"date-parts":[["2018","10","10"]]},"page":"203-209","publisher":"Nature Publishing Group","title":"The UK Biobank resource with deep phenotyping and genomic data","type":"article-journal","volume":"562"},"uris":["http://www.mendeley.com/documents/?uuid=85af4e59-1d3b-3a3c-adb2-db406a9dc7d2"]}],"mendeley":{"formattedCitation":"[1]","plainTextFormattedCitation":"[1]","previouslyFormattedCitation":"(Bycroft et al., 2018)"},"properties":{"noteIndex":0},"schema":"https://github.com/citation-style-language/schema/raw/master/csl-citation.json"}</w:instrText>
      </w:r>
      <w:r w:rsidRPr="00CE04B9">
        <w:fldChar w:fldCharType="separate"/>
      </w:r>
      <w:bookmarkStart w:id="0" w:name="__Fieldmark__11638_1633345284"/>
      <w:r w:rsidR="00BB332E" w:rsidRPr="00BB332E">
        <w:rPr>
          <w:rFonts w:eastAsia="Arial Unicode MS" w:cs="Arial Unicode MS"/>
          <w:noProof/>
          <w:color w:val="000000"/>
          <w:u w:color="000000"/>
        </w:rPr>
        <w:t>[1]</w:t>
      </w:r>
      <w:r w:rsidRPr="00CE04B9">
        <w:fldChar w:fldCharType="end"/>
      </w:r>
      <w:bookmarkEnd w:id="0"/>
      <w:r w:rsidRPr="00CE04B9">
        <w:t>.</w:t>
      </w:r>
      <w:r w:rsidRPr="00CE04B9">
        <w:rPr>
          <w:rFonts w:eastAsia="Arial Unicode MS" w:cs="Arial Unicode MS"/>
          <w:color w:val="000000"/>
          <w:u w:color="000000"/>
        </w:rPr>
        <w:t xml:space="preserve"> These two arrays share over 95% common content. Further details of genotyping and sample processing are available (</w:t>
      </w:r>
      <w:hyperlink r:id="rId8">
        <w:r w:rsidRPr="00CE04B9">
          <w:rPr>
            <w:rStyle w:val="ListLabel1"/>
          </w:rPr>
          <w:t>http://biobank.ctsu.ox.ac.uk/crystal/docs/genotyping_affy_sampro.pdf</w:t>
        </w:r>
      </w:hyperlink>
      <w:r w:rsidRPr="00CE04B9">
        <w:rPr>
          <w:rFonts w:eastAsia="Arial Unicode MS" w:cs="Arial Unicode MS"/>
          <w:color w:val="000000"/>
          <w:u w:color="000000"/>
        </w:rPr>
        <w:t>). Before the release of UK Biobank genetic data, a stringent quality control (QC) protocol was performed, with further imputation</w:t>
      </w:r>
      <w:r w:rsidR="003A6DFA">
        <w:rPr>
          <w:rFonts w:eastAsia="Arial Unicode MS" w:cs="Arial Unicode MS"/>
          <w:color w:val="000000"/>
          <w:u w:color="000000"/>
        </w:rPr>
        <w:t xml:space="preserve"> </w:t>
      </w:r>
      <w:r w:rsidRPr="00CE04B9">
        <w:fldChar w:fldCharType="begin" w:fldLock="1"/>
      </w:r>
      <w:r w:rsidR="00BB332E">
        <w:instrText>ADDIN CSL_CITATION {"citationItems":[{"id":"ITEM-1","itemData":{"DOI":"10.1038/s41586-018-0579-z","ISSN":"0028-0836","abstract":"The UK Biobank project is a prospective cohort study with deep genetic and phenotypic data collected on approximately 500,000 individuals from across the United Kingdom, aged between 40 and 69 at recruitment. The open resource is unique in its size and scope. A rich variety of phenotypic and health-related information is available on each participant, including biological measurements, lifestyle indicators, biomarkers in blood and urine, and imaging of the body and brain. Follow-up information is provided by linking health and medical records. Genome-wide genotype data have been collected on all participants, providing many opportunities for the discovery of new genetic associations and the genetic bases of complex traits. Here we describe the centralized analysis of the genetic data, including genotype quality, properties of population structure and relatedness of the genetic data, and efficient phasing and genotype imputation that increases the number of testable variants to around 96 million. Classical allelic variation at 11 human leukocyte antigen genes was imputed, resulting in the recovery of signals with known associations between human leukocyte antigen alleles and many diseases.","author":[{"dropping-particle":"","family":"Bycroft","given":"Clare","non-dropping-particle":"","parse-names":false,"suffix":""},{"dropping-particle":"","family":"Freeman","given":"Colin","non-dropping-particle":"","parse-names":false,"suffix":""},{"dropping-particle":"","family":"Petkova","given":"Desislava","non-dropping-particle":"","parse-names":false,"suffix":""},{"dropping-particle":"","family":"Band","given":"Gavin","non-dropping-particle":"","parse-names":false,"suffix":""},{"dropping-particle":"","family":"Elliott","given":"Lloyd T.","non-dropping-particle":"","parse-names":false,"suffix":""},{"dropping-particle":"","family":"Sharp","given":"Kevin","non-dropping-particle":"","parse-names":false,"suffix":""},{"dropping-particle":"","family":"Motyer","given":"Allan","non-dropping-particle":"","parse-names":false,"suffix":""},{"dropping-particle":"","family":"Vukcevic","given":"Damjan","non-dropping-particle":"","parse-names":false,"suffix":""},{"dropping-particle":"","family":"Delaneau","given":"Olivier","non-dropping-particle":"","parse-names":false,"suffix":""},{"dropping-particle":"","family":"O’Connell","given":"Jared","non-dropping-particle":"","parse-names":false,"suffix":""},{"dropping-particle":"","family":"Cortes","given":"Adrian","non-dropping-particle":"","parse-names":false,"suffix":""},{"dropping-particle":"","family":"Welsh","given":"Samantha","non-dropping-particle":"","parse-names":false,"suffix":""},{"dropping-particle":"","family":"Young","given":"Alan","non-dropping-particle":"","parse-names":false,"suffix":""},{"dropping-particle":"","family":"Effingham","given":"Mark","non-dropping-particle":"","parse-names":false,"suffix":""},{"dropping-particle":"","family":"McVean","given":"Gil","non-dropping-particle":"","parse-names":false,"suffix":""},{"dropping-particle":"","family":"Leslie","given":"Stephen","non-dropping-particle":"","parse-names":false,"suffix":""},{"dropping-particle":"","family":"Allen","given":"Naomi","non-dropping-particle":"","parse-names":false,"suffix":""},{"dropping-particle":"","family":"Donnelly","given":"Peter","non-dropping-particle":"","parse-names":false,"suffix":""},{"dropping-particle":"","family":"Marchini","given":"Jonathan","non-dropping-particle":"","parse-names":false,"suffix":""}],"container-title":"Nature","id":"ITEM-1","issue":"7726","issued":{"date-parts":[["2018","10","10"]]},"page":"203-209","publisher":"Nature Publishing Group","title":"The UK Biobank resource with deep phenotyping and genomic data","type":"article-journal","volume":"562"},"uris":["http://www.mendeley.com/documents/?uuid=85af4e59-1d3b-3a3c-adb2-db406a9dc7d2"]}],"mendeley":{"formattedCitation":"[1]","plainTextFormattedCitation":"[1]","previouslyFormattedCitation":"(Bycroft et al., 2018)"},"properties":{"noteIndex":0},"schema":"https://github.com/citation-style-language/schema/raw/master/csl-citation.json"}</w:instrText>
      </w:r>
      <w:r w:rsidRPr="00CE04B9">
        <w:fldChar w:fldCharType="separate"/>
      </w:r>
      <w:bookmarkStart w:id="1" w:name="__Fieldmark__11646_1633345284"/>
      <w:bookmarkStart w:id="2" w:name="__Fieldmark__654_1793899320"/>
      <w:r w:rsidR="00BB332E" w:rsidRPr="00BB332E">
        <w:rPr>
          <w:rFonts w:eastAsia="Arial Unicode MS" w:cs="Arial Unicode MS"/>
          <w:noProof/>
          <w:color w:val="000000"/>
          <w:u w:color="000000"/>
        </w:rPr>
        <w:t>[1]</w:t>
      </w:r>
      <w:r w:rsidRPr="00CE04B9">
        <w:fldChar w:fldCharType="end"/>
      </w:r>
      <w:bookmarkEnd w:id="1"/>
      <w:bookmarkEnd w:id="2"/>
      <w:r w:rsidRPr="00CE04B9">
        <w:rPr>
          <w:rFonts w:eastAsia="Arial Unicode MS" w:cs="Arial Unicode MS"/>
          <w:color w:val="000000"/>
          <w:u w:color="000000"/>
        </w:rPr>
        <w:t xml:space="preserve"> using the Haplotype Reference Consortium (HRC) reference panel </w:t>
      </w:r>
      <w:r w:rsidRPr="00CE04B9">
        <w:fldChar w:fldCharType="begin" w:fldLock="1"/>
      </w:r>
      <w:r w:rsidR="00BB332E">
        <w:instrText>ADDIN CSL_CITATION {"citationItems":[{"id":"ITEM-1","itemData":{"DOI":"10.1038/ng.3643","ISSN":"1546-1718 (Electronic)","PMID":"27548312","abstract":"We describe a reference panel of 64,976 human haplotypes at 39,235,157 SNPs constructed using whole-genome sequence data from 20 studies of predominantly European ancestry. Using this resource leads to accurate genotype imputation at minor allele frequencies as low as 0.1% and a large increase in the number of SNPs tested in association studies, and it can help to discover and refine causal loci. We describe remote server resources that allow researchers to carry out imputation and phasing consistently and efficiently.","author":[{"dropping-particle":"","family":"McCarthy","given":"Shane","non-dropping-particle":"","parse-names":false,"suffix":""},{"dropping-particle":"","family":"Das","given":"Sayantan","non-dropping-particle":"","parse-names":false,"suffix":""},{"dropping-particle":"","family":"Kretzschmar","given":"Warren","non-dropping-particle":"","parse-names":false,"suffix":""},{"dropping-particle":"","family":"Delaneau","given":"Olivier","non-dropping-particle":"","parse-names":false,"suffix":""},{"dropping-particle":"","family":"Wood","given":"Andrew R","non-dropping-particle":"","parse-names":false,"suffix":""},{"dropping-particle":"","family":"Teumer","given":"Alexander","non-dropping-particle":"","parse-names":false,"suffix":""},{"dropping-particle":"","family":"Kang","given":"Hyun Min","non-dropping-particle":"","parse-names":false,"suffix":""},{"dropping-particle":"","family":"Fuchsberger","given":"Christian","non-dropping-particle":"","parse-names":false,"suffix":""},{"dropping-particle":"","family":"Danecek","given":"Petr","non-dropping-particle":"","parse-names":false,"suffix":""},{"dropping-particle":"","family":"Sharp","given":"Kevin","non-dropping-particle":"","parse-names":false,"suffix":""},{"dropping-particle":"","family":"Luo","given":"Yang","non-dropping-particle":"","parse-names":false,"suffix":""},{"dropping-particle":"","family":"Sidore","given":"Carlo","non-dropping-particle":"","parse-names":false,"suffix":""},{"dropping-particle":"","family":"Kwong","given":"Alan","non-dropping-particle":"","parse-names":false,"suffix":""},{"dropping-particle":"","family":"Timpson","given":"Nicholas","non-dropping-particle":"","parse-names":false,"suffix":""},{"dropping-particle":"","family":"Koskinen","given":"Seppo","non-dropping-particle":"","parse-names":false,"suffix":""},{"dropping-particle":"","family":"Vrieze","given":"Scott","non-dropping-particle":"","parse-names":false,"suffix":""},{"dropping-particle":"","family":"Scott","given":"Laura J","non-dropping-particle":"","parse-names":false,"suffix":""},{"dropping-particle":"","family":"Zhang","given":"He","non-dropping-particle":"","parse-names":false,"suffix":""},{"dropping-particle":"","family":"Mahajan","given":"Anubha","non-dropping-particle":"","parse-names":false,"suffix":""},{"dropping-particle":"","family":"Veldink","given":"Jan","non-dropping-particle":"","parse-names":false,"suffix":""},{"dropping-particle":"","family":"Peters","given":"Ulrike","non-dropping-particle":"","parse-names":false,"suffix":""},{"dropping-particle":"","family":"Pato","given":"Carlos","non-dropping-particle":"","parse-names":false,"suffix":""},{"dropping-particle":"","family":"Duijn","given":"Cornelia M","non-dropping-particle":"van","parse-names":false,"suffix":""},{"dropping-particle":"","family":"Gillies","given":"Christopher E","non-dropping-particle":"","parse-names":false,"suffix":""},{"dropping-particle":"","family":"Gandin","given":"Ilaria","non-dropping-particle":"","parse-names":false,"suffix":""},{"dropping-particle":"","family":"Mezzavilla","given":"Massimo","non-dropping-particle":"","parse-names":false,"suffix":""},{"dropping-particle":"","family":"Gilly","given":"Arthur","non-dropping-particle":"","parse-names":false,"suffix":""},{"dropping-particle":"","family":"Cocca","given":"Massimiliano","non-dropping-particle":"","parse-names":false,"suffix":""},{"dropping-particle":"","family":"Traglia","given":"Michela","non-dropping-particle":"","parse-names":false,"suffix":""},{"dropping-particle":"","family":"Angius","given":"Andrea","non-dropping-particle":"","parse-names":false,"suffix":""},{"dropping-particle":"","family":"Barrett","given":"Jeffrey C","non-dropping-particle":"","parse-names":false,"suffix":""},{"dropping-particle":"","family":"Boomsma","given":"Dorrett","non-dropping-particle":"","parse-names":false,"suffix":""},{"dropping-particle":"","family":"Branham","given":"Kari","non-dropping-particle":"","parse-names":false,"suffix":""},{"dropping-particle":"","family":"Breen","given":"Gerome","non-dropping-particle":"","parse-names":false,"suffix":""},{"dropping-particle":"","family":"Brummett","given":"Chad M","non-dropping-particle":"","parse-names":false,"suffix":""},{"dropping-particle":"","family":"Busonero","given":"Fabio","non-dropping-particle":"","parse-names":false,"suffix":""},{"dropping-particle":"","family":"Campbell","given":"Harry","non-dropping-particle":"","parse-names":false,"suffix":""},{"dropping-particle":"","family":"Chan","given":"Andrew","non-dropping-particle":"","parse-names":false,"suffix":""},{"dropping-particle":"","family":"Chen","given":"Sai","non-dropping-particle":"","parse-names":false,"suffix":""},{"dropping-particle":"","family":"Chew","given":"Emily","non-dropping-particle":"","parse-names":false,"suffix":""},{"dropping-particle":"","family":"Collins","given":"Francis S","non-dropping-particle":"","parse-names":false,"suffix":""},{"dropping-particle":"","family":"Corbin","given":"Laura J","non-dropping-particle":"","parse-names":false,"suffix":""},{"dropping-particle":"","family":"Smith","given":"George Davey","non-dropping-particle":"","parse-names":false,"suffix":""},{"dropping-particle":"","family":"Dedoussis","given":"George","non-dropping-particle":"","parse-names":false,"suffix":""},{"dropping-particle":"","family":"Dorr","given":"Marcus","non-dropping-particle":"","parse-names":false,"suffix":""},{"dropping-particle":"","family":"Farmaki","given":"Aliki-Eleni","non-dropping-particle":"","parse-names":false,"suffix":""},{"dropping-particle":"","family":"Ferrucci","given":"Luigi","non-dropping-particle":"","parse-names":false,"suffix":""},{"dropping-particle":"","family":"Forer","given":"Lukas","non-dropping-particle":"","parse-names":false,"suffix":""},{"dropping-particle":"","family":"Fraser","given":"Ross M","non-dropping-particle":"","parse-names":false,"suffix":""},{"dropping-particle":"","family":"Gabriel","given":"Stacey","non-dropping-particle":"","parse-names":false,"suffix":""},{"dropping-particle":"","family":"Levy","given":"Shawn","non-dropping-particle":"","parse-names":false,"suffix":""},{"dropping-particle":"","family":"Groop","given":"Leif","non-dropping-particle":"","parse-names":false,"suffix":""},{"dropping-particle":"","family":"Harrison","given":"Tabitha","non-dropping-particle":"","parse-names":false,"suffix":""},{"dropping-particle":"","family":"Hattersley","given":"Andrew","non-dropping-particle":"","parse-names":false,"suffix":""},{"dropping-particle":"","family":"Holmen","given":"Oddgeir L","non-dropping-particle":"","parse-names":false,"suffix":""},{"dropping-particle":"","family":"Hveem","given":"Kristian","non-dropping-particle":"","parse-names":false,"suffix":""},{"dropping-particle":"","family":"Kretzler","given":"Matthias","non-dropping-particle":"","parse-names":false,"suffix":""},{"dropping-particle":"","family":"Lee","given":"James C","non-dropping-particle":"","parse-names":false,"suffix":""},{"dropping-particle":"","family":"McGue","given":"Matt","non-dropping-particle":"","parse-names":false,"suffix":""},{"dropping-particle":"","family":"Meitinger","given":"Thomas","non-dropping-particle":"","parse-names":false,"suffix":""},{"dropping-particle":"","family":"Melzer","given":"David","non-dropping-particle":"","parse-names":false,"suffix":""},{"dropping-particle":"","family":"Min","given":"Josine L","non-dropping-particle":"","parse-names":false,"suffix":""},{"dropping-particle":"","family":"Mohlke","given":"Karen L","non-dropping-particle":"","parse-names":false,"suffix":""},{"dropping-particle":"","family":"Vincent","given":"John B","non-dropping-particle":"","parse-names":false,"suffix":""},{"dropping-particle":"","family":"Nauck","given":"Matthias","non-dropping-particle":"","parse-names":false,"suffix":""},{"dropping-particle":"","family":"Nickerson","given":"Deborah","non-dropping-particle":"","parse-names":false,"suffix":""},{"dropping-particle":"","family":"Palotie","given":"Aarno","non-dropping-particle":"","parse-names":false,"suffix":""},{"dropping-particle":"","family":"Pato","given":"Michele","non-dropping-particle":"","parse-names":false,"suffix":""},{"dropping-particle":"","family":"Pirastu","given":"Nicola","non-dropping-particle":"","parse-names":false,"suffix":""},{"dropping-particle":"","family":"McInnis","given":"Melvin","non-dropping-particle":"","parse-names":false,"suffix":""},{"dropping-particle":"","family":"Richards","given":"J Brent","non-dropping-particle":"","parse-names":false,"suffix":""},{"dropping-particle":"","family":"Sala","given":"Cinzia","non-dropping-particle":"","parse-names":false,"suffix":""},{"dropping-particle":"","family":"Salomaa","given":"Veikko","non-dropping-particle":"","parse-names":false,"suffix":""},{"dropping-particle":"","family":"Schlessinger","given":"David","non-dropping-particle":"","parse-names":false,"suffix":""},{"dropping-particle":"","family":"Schoenherr","given":"Sebastian","non-dropping-particle":"","parse-names":false,"suffix":""},{"dropping-particle":"","family":"Slagboom","given":"P Eline","non-dropping-particle":"","parse-names":false,"suffix":""},{"dropping-particle":"","family":"Small","given":"Kerrin","non-dropping-particle":"","parse-names":false,"suffix":""},{"dropping-particle":"","family":"Spector","given":"Timothy","non-dropping-particle":"","parse-names":false,"suffix":""},{"dropping-particle":"","family":"Stambolian","given":"Dwight","non-dropping-particle":"","parse-names":false,"suffix":""},{"dropping-particle":"","family":"Tuke","given":"Marcus","non-dropping-particle":"","parse-names":false,"suffix":""},{"dropping-particle":"","family":"Tuomilehto","given":"Jaakko","non-dropping-particle":"","parse-names":false,"suffix":""},{"dropping-particle":"","family":"Berg","given":"Leonard H","non-dropping-particle":"Van den","parse-names":false,"suffix":""},{"dropping-particle":"","family":"Rheenen","given":"Wouter","non-dropping-particle":"Van","parse-names":false,"suffix":""},{"dropping-particle":"","family":"Volker","given":"Uwe","non-dropping-particle":"","parse-names":false,"suffix":""},{"dropping-particle":"","family":"Wijmenga","given":"Cisca","non-dropping-particle":"","parse-names":false,"suffix":""},{"dropping-particle":"","family":"Toniolo","given":"Daniela","non-dropping-particle":"","parse-names":false,"suffix":""},{"dropping-particle":"","family":"Zeggini","given":"Eleftheria","non-dropping-particle":"","parse-names":false,"suffix":""},{"dropping-particle":"","family":"Gasparini","given":"Paolo","non-dropping-particle":"","parse-names":false,"suffix":""},{"dropping-particle":"","family":"Sampson","given":"Matthew G","non-dropping-particle":"","parse-names":false,"suffix":""},{"dropping-particle":"","family":"Wilson","given":"James F","non-dropping-particle":"","parse-names":false,"suffix":""},{"dropping-particle":"","family":"Frayling","given":"Timothy","non-dropping-particle":"","parse-names":false,"suffix":""},{"dropping-particle":"","family":"Bakker","given":"Paul I W","non-dropping-particle":"de","parse-names":false,"suffix":""},{"dropping-particle":"","family":"Swertz","given":"Morris A","non-dropping-particle":"","parse-names":false,"suffix":""},{"dropping-particle":"","family":"McCarroll","given":"Steven","non-dropping-particle":"","parse-names":false,"suffix":""},{"dropping-particle":"","family":"Kooperberg","given":"Charles","non-dropping-particle":"","parse-names":false,"suffix":""},{"dropping-particle":"","family":"Dekker","given":"Annelot","non-dropping-particle":"","parse-names":false,"suffix":""},{"dropping-particle":"","family":"Altshuler","given":"David","non-dropping-particle":"","parse-names":false,"suffix":""},{"dropping-particle":"","family":"Willer","given":"Cristen","non-dropping-particle":"","parse-names":false,"suffix":""},{"dropping-particle":"","family":"Iacono","given":"William","non-dropping-particle":"","parse-names":false,"suffix":""},{"dropping-particle":"","family":"Ripatti","given":"Samuli","non-dropping-particle":"","parse-names":false,"suffix":""},{"dropping-particle":"","family":"Soranzo","given":"Nicole","non-dropping-particle":"","parse-names":false,"suffix":""},{"dropping-particle":"","family":"Walter","given":"Klaudia","non-dropping-particle":"","parse-names":false,"suffix":""},{"dropping-particle":"","family":"Swaroop","given":"Anand","non-dropping-particle":"","parse-names":false,"suffix":""},{"dropping-particle":"","family":"Cucca","given":"Francesco","non-dropping-particle":"","parse-names":false,"suffix":""},{"dropping-particle":"","family":"Anderson","given":"Carl A","non-dropping-particle":"","parse-names":false,"suffix":""},{"dropping-particle":"","family":"Myers","given":"Richard M","non-dropping-particle":"","parse-names":false,"suffix":""},{"dropping-particle":"","family":"Boehnke","given":"Michael","non-dropping-particle":"","parse-names":false,"suffix":""},{"dropping-particle":"","family":"McCarthy","given":"Mark I","non-dropping-particle":"","parse-names":false,"suffix":""},{"dropping-particle":"","family":"Durbin","given":"Richard","non-dropping-particle":"","parse-names":false,"suffix":""}],"container-title":"Nature genetics","id":"ITEM-1","issue":"10","issued":{"date-parts":[["2016","10"]]},"language":"eng","page":"1279-1283","publisher-place":"United States","title":"A reference panel of 64,976 haplotypes for genotype imputation.","type":"article-journal","volume":"48"},"uris":["http://www.mendeley.com/documents/?uuid=24c82ecd-4ebe-48bd-9069-b4cf48566fb4"]}],"mendeley":{"formattedCitation":"[2]","plainTextFormattedCitation":"[2]","previouslyFormattedCitation":"(McCarthy et al., 2016)"},"properties":{"noteIndex":0},"schema":"https://github.com/citation-style-language/schema/raw/master/csl-citation.json"}</w:instrText>
      </w:r>
      <w:r w:rsidRPr="00CE04B9">
        <w:fldChar w:fldCharType="separate"/>
      </w:r>
      <w:bookmarkStart w:id="3" w:name="__Fieldmark__11653_1633345284"/>
      <w:bookmarkStart w:id="4" w:name="__Fieldmark__660_1793899320"/>
      <w:r w:rsidR="00BB332E" w:rsidRPr="00BB332E">
        <w:rPr>
          <w:rFonts w:eastAsia="Arial Unicode MS" w:cs="Arial Unicode MS"/>
          <w:noProof/>
          <w:color w:val="000000"/>
          <w:u w:color="000000"/>
        </w:rPr>
        <w:t>[2]</w:t>
      </w:r>
      <w:r w:rsidRPr="00CE04B9">
        <w:fldChar w:fldCharType="end"/>
      </w:r>
      <w:bookmarkEnd w:id="3"/>
      <w:bookmarkEnd w:id="4"/>
      <w:r w:rsidRPr="00CE04B9">
        <w:t>.</w:t>
      </w:r>
      <w:r w:rsidRPr="00CE04B9">
        <w:rPr>
          <w:rFonts w:eastAsia="Arial Unicode MS" w:cs="Arial Unicode MS"/>
          <w:color w:val="000000"/>
          <w:u w:color="000000"/>
        </w:rPr>
        <w:t xml:space="preserve"> Details of the QC protocol (</w:t>
      </w:r>
      <w:hyperlink r:id="rId9">
        <w:r w:rsidRPr="00CE04B9">
          <w:rPr>
            <w:rStyle w:val="ListLabel1"/>
          </w:rPr>
          <w:t>http://biobank.ctsu.ox.ac.uk/crystal/docs/genotyping_qc.pdf</w:t>
        </w:r>
      </w:hyperlink>
      <w:r w:rsidRPr="00CE04B9">
        <w:rPr>
          <w:rFonts w:eastAsia="Arial Unicode MS" w:cs="Arial Unicode MS"/>
          <w:color w:val="000000"/>
          <w:u w:color="000000"/>
        </w:rPr>
        <w:t>) and genetic imputation (</w:t>
      </w:r>
      <w:hyperlink r:id="rId10">
        <w:r w:rsidRPr="00CE04B9">
          <w:rPr>
            <w:rStyle w:val="ListLabel1"/>
          </w:rPr>
          <w:t>http://www.ukbiobank.ac.uk/wp-content/uploads/2014/04/imputation_documentation_May2015.pdf</w:t>
        </w:r>
      </w:hyperlink>
      <w:r w:rsidRPr="00CE04B9">
        <w:rPr>
          <w:rFonts w:eastAsia="Arial Unicode MS" w:cs="Arial Unicode MS"/>
          <w:color w:val="000000"/>
          <w:u w:color="000000"/>
        </w:rPr>
        <w:t xml:space="preserve">) are available online. </w:t>
      </w:r>
    </w:p>
    <w:p w14:paraId="48883856" w14:textId="77777777" w:rsidR="00CE04B9" w:rsidRPr="00CE04B9" w:rsidRDefault="00CE04B9" w:rsidP="00CE04B9">
      <w:pPr>
        <w:spacing w:line="360" w:lineRule="auto"/>
        <w:rPr>
          <w:rFonts w:eastAsia="Arial Unicode MS" w:cs="Arial Unicode MS"/>
          <w:color w:val="000000"/>
          <w:u w:color="000000"/>
        </w:rPr>
      </w:pPr>
    </w:p>
    <w:p w14:paraId="2CE6135C" w14:textId="410DCD31" w:rsidR="00CE04B9" w:rsidRPr="00CE04B9" w:rsidRDefault="00CE04B9" w:rsidP="00CE04B9">
      <w:pPr>
        <w:spacing w:line="360" w:lineRule="auto"/>
      </w:pPr>
      <w:r w:rsidRPr="00CE04B9">
        <w:rPr>
          <w:rFonts w:eastAsia="Arial Unicode MS" w:cs="Arial Unicode MS"/>
          <w:color w:val="000000"/>
          <w:u w:color="000000"/>
        </w:rPr>
        <w:t xml:space="preserve">Prior to the analyses in the current study, further QC steps were taken. Participants were excluded if they were reported as outliers based on heterozygosity and missing rates, had a variant call rate &lt; 98%, had a mismatch of phenotypic and genotypic gender, or had non-European ancestry as defined by 4-means clustering of the first two PCs from the genetic data. By using the KING toolset </w:t>
      </w:r>
      <w:r w:rsidRPr="00CE04B9">
        <w:fldChar w:fldCharType="begin" w:fldLock="1"/>
      </w:r>
      <w:r w:rsidR="00BB332E">
        <w:instrText>ADDIN CSL_CITATION {"citationItems":[{"id":"ITEM-1","itemData":{"DOI":"10.1093/bioinformatics/btq559","ISSN":"1367-4811 (Electronic)","PMID":"20926424","abstract":"MOTIVATION: Genome-wide association studies (GWASs) have been widely used to map  loci contributing to variation in complex traits and risk of diseases in humans. Accurate specification of familial relationships is crucial for family-based GWAS, as well as in population-based GWAS with unknown (or unrecognized) family structure. The family structure in a GWAS should be routinely investigated using the SNP data prior to the analysis of population structure or phenotype. Existing algorithms for relationship inference have a major weakness of estimating allele frequencies at each SNP from the entire sample, under a strong assumption of homogeneous population structure. This assumption is often untenable. RESULTS: Here, we present a rapid algorithm for relationship inference using high-throughput genotype data typical of GWAS that allows the presence of unknown population substructure. The relationship of any pair of individuals can be precisely inferred by robust estimation of their kinship coefficient, independent of sample composition or population structure (sample invariance). We present simulation experiments to demonstrate that the algorithm has sufficient power to provide reliable inference on millions of unrelated pairs and thousands of relative pairs (up to 3rd-degree relationships). Application of our robust algorithm to HapMap and GWAS datasets demonstrates that it performs properly even under extreme population stratification, while algorithms assuming a homogeneous population give systematically biased results. Our extremely efficient implementation performs relationship inference on millions of pairs of individuals in a matter of minutes, dozens of times faster than the most efficient existing algorithm known to us. AVAILABILITY: Our robust relationship inference algorithm is implemented in a freely available software package, KING, available for download at http://people.virginia.edu/ approximately wc9c/KING.","author":[{"dropping-particle":"","family":"Manichaikul","given":"Ani","non-dropping-particle":"","parse-names":false,"suffix":""},{"dropping-particle":"","family":"Mychaleckyj","given":"Josyf C","non-dropping-particle":"","parse-names":false,"suffix":""},{"dropping-particle":"","family":"Rich","given":"Stephen S","non-dropping-particle":"","parse-names":false,"suffix":""},{"dropping-particle":"","family":"Daly","given":"Kathy","non-dropping-particle":"","parse-names":false,"suffix":""},{"dropping-particle":"","family":"Sale","given":"Michele","non-dropping-particle":"","parse-names":false,"suffix":""},{"dropping-particle":"","family":"Chen","given":"Wei-Min","non-dropping-particle":"","parse-names":false,"suffix":""}],"container-title":"Bioinformatics (Oxford, England)","id":"ITEM-1","issue":"22","issued":{"date-parts":[["2010","11"]]},"language":"eng","page":"2867-2873","publisher-place":"England","title":"Robust relationship inference in genome-wide association studies.","type":"article-journal","volume":"26"},"uris":["http://www.mendeley.com/documents/?uuid=d3bdfafa-990f-4536-978f-dfd5feb87486"]}],"mendeley":{"formattedCitation":"[3]","plainTextFormattedCitation":"[3]","previouslyFormattedCitation":"(Manichaikul et al., 2010)"},"properties":{"noteIndex":0},"schema":"https://github.com/citation-style-language/schema/raw/master/csl-citation.json"}</w:instrText>
      </w:r>
      <w:r w:rsidRPr="00CE04B9">
        <w:fldChar w:fldCharType="separate"/>
      </w:r>
      <w:bookmarkStart w:id="5" w:name="__Fieldmark__11668_1633345284"/>
      <w:bookmarkStart w:id="6" w:name="__Fieldmark__674_1793899320"/>
      <w:r w:rsidR="00BB332E" w:rsidRPr="00BB332E">
        <w:rPr>
          <w:rFonts w:eastAsia="Arial Unicode MS" w:cs="Arial Unicode MS"/>
          <w:noProof/>
          <w:color w:val="000000"/>
          <w:u w:color="000000"/>
        </w:rPr>
        <w:t>[3]</w:t>
      </w:r>
      <w:r w:rsidRPr="00CE04B9">
        <w:fldChar w:fldCharType="end"/>
      </w:r>
      <w:bookmarkEnd w:id="5"/>
      <w:bookmarkEnd w:id="6"/>
      <w:r w:rsidRPr="00CE04B9">
        <w:t>,</w:t>
      </w:r>
      <w:r w:rsidRPr="00CE04B9">
        <w:rPr>
          <w:rFonts w:eastAsia="Arial Unicode MS" w:cs="Arial Unicode MS"/>
          <w:color w:val="000000"/>
          <w:u w:color="000000"/>
        </w:rPr>
        <w:t xml:space="preserve"> one of each pair of participants sharing relatedness of up to the third degree (KING estimated kinship coefficient &gt; 0.044) were also excluded. Removal of relatives was performed using a "greedy" algorithm, which minimises exclusions (for example, by excluding the child in a mother-father-child trio). Genetic variants were excluded if they had a call rate &lt; 98%, a minor allele frequency &lt; 0.01, or deviated from the Hardy-Weinberg equilibrium (</w:t>
      </w:r>
      <w:r w:rsidRPr="00CE04B9">
        <w:rPr>
          <w:rFonts w:eastAsia="Arial Unicode MS" w:cs="Arial Unicode MS"/>
          <w:i/>
          <w:iCs/>
          <w:color w:val="000000"/>
          <w:u w:color="000000"/>
        </w:rPr>
        <w:t>p</w:t>
      </w:r>
      <w:r w:rsidRPr="00CE04B9">
        <w:rPr>
          <w:rFonts w:eastAsia="Arial Unicode MS" w:cs="Arial Unicode MS"/>
          <w:color w:val="000000"/>
          <w:u w:color="000000"/>
        </w:rPr>
        <w:t xml:space="preserve"> &lt; 10</w:t>
      </w:r>
      <w:r w:rsidRPr="00CE04B9">
        <w:rPr>
          <w:rFonts w:eastAsia="Arial Unicode MS" w:cs="Arial Unicode MS"/>
          <w:color w:val="000000"/>
          <w:u w:color="000000"/>
          <w:vertAlign w:val="superscript"/>
        </w:rPr>
        <w:t>-8</w:t>
      </w:r>
      <w:r w:rsidRPr="00CE04B9">
        <w:rPr>
          <w:rFonts w:eastAsia="Arial Unicode MS" w:cs="Arial Unicode MS"/>
          <w:color w:val="000000"/>
          <w:u w:color="000000"/>
        </w:rPr>
        <w:t xml:space="preserve">). Principal components analysis was also performed on the European-only subset of the data using the software flashpca2 </w:t>
      </w:r>
      <w:r w:rsidRPr="00CE04B9">
        <w:fldChar w:fldCharType="begin" w:fldLock="1"/>
      </w:r>
      <w:r w:rsidR="00BB332E">
        <w:instrText>ADDIN CSL_CITATION {"citationItems":[{"id":"ITEM-1","itemData":{"DOI":"10.1093/bioinformatics/btx299","ISSN":"1367-4803","author":[{"dropping-particle":"","family":"Abraham","given":"Gad","non-dropping-particle":"","parse-names":false,"suffix":""},{"dropping-particle":"","family":"Qiu","given":"Yixuan","non-dropping-particle":"","parse-names":false,"suffix":""},{"dropping-particle":"","family":"Inouye","given":"Michael","non-dropping-particle":"","parse-names":false,"suffix":""}],"container-title":"Bioinformatics","editor":[{"dropping-particle":"","family":"Stegle","given":"Oliver","non-dropping-particle":"","parse-names":false,"suffix":""}],"id":"ITEM-1","issue":"17","issued":{"date-parts":[["2017","9","1"]]},"page":"2776-2778","publisher":"Narnia","title":"FlashPCA2: principal component analysis of Biobank-scale genotype datasets","type":"article-journal","volume":"33"},"uris":["http://www.mendeley.com/documents/?uuid=9fd4149e-fa51-369b-93e7-59cb28ac4f18"]}],"mendeley":{"formattedCitation":"[4]","plainTextFormattedCitation":"[4]","previouslyFormattedCitation":"(Abraham, Qiu, &amp; Inouye, 2017)"},"properties":{"noteIndex":0},"schema":"https://github.com/citation-style-language/schema/raw/master/csl-citation.json"}</w:instrText>
      </w:r>
      <w:r w:rsidRPr="00CE04B9">
        <w:fldChar w:fldCharType="separate"/>
      </w:r>
      <w:bookmarkStart w:id="7" w:name="__Fieldmark__11684_1633345284"/>
      <w:r w:rsidR="00BB332E" w:rsidRPr="00BB332E">
        <w:rPr>
          <w:rFonts w:eastAsia="Arial Unicode MS" w:cs="Arial Unicode MS"/>
          <w:noProof/>
          <w:color w:val="000000"/>
          <w:u w:color="000000"/>
        </w:rPr>
        <w:t>[4]</w:t>
      </w:r>
      <w:r w:rsidRPr="00CE04B9">
        <w:fldChar w:fldCharType="end"/>
      </w:r>
      <w:bookmarkEnd w:id="7"/>
      <w:r w:rsidRPr="00CE04B9">
        <w:t>.</w:t>
      </w:r>
    </w:p>
    <w:p w14:paraId="11817B47" w14:textId="77777777" w:rsidR="00CE04B9" w:rsidRPr="00CE04B9" w:rsidRDefault="00CE04B9" w:rsidP="00CE04B9">
      <w:pPr>
        <w:spacing w:line="360" w:lineRule="auto"/>
      </w:pPr>
    </w:p>
    <w:p w14:paraId="61298397" w14:textId="67539E5A" w:rsidR="00CE04B9" w:rsidRPr="00CE04B9" w:rsidRDefault="00CE04B9" w:rsidP="00CE04B9">
      <w:pPr>
        <w:spacing w:line="360" w:lineRule="auto"/>
      </w:pPr>
    </w:p>
    <w:p w14:paraId="0DEEE29A" w14:textId="02C8CAC5" w:rsidR="00CE04B9" w:rsidRPr="00CE04B9" w:rsidRDefault="00CE04B9" w:rsidP="00CE04B9">
      <w:pPr>
        <w:spacing w:line="360" w:lineRule="auto"/>
      </w:pPr>
      <w:r w:rsidRPr="00CE04B9">
        <w:t>References</w:t>
      </w:r>
    </w:p>
    <w:p w14:paraId="77A19025" w14:textId="697D5F13" w:rsidR="00BB332E" w:rsidRPr="00BB332E" w:rsidRDefault="00CE04B9" w:rsidP="00BB332E">
      <w:pPr>
        <w:widowControl w:val="0"/>
        <w:autoSpaceDE w:val="0"/>
        <w:autoSpaceDN w:val="0"/>
        <w:adjustRightInd w:val="0"/>
        <w:spacing w:line="360" w:lineRule="auto"/>
        <w:ind w:left="640" w:hanging="640"/>
        <w:rPr>
          <w:noProof/>
        </w:rPr>
      </w:pPr>
      <w:r w:rsidRPr="00CE04B9">
        <w:fldChar w:fldCharType="begin" w:fldLock="1"/>
      </w:r>
      <w:r w:rsidRPr="00CE04B9">
        <w:instrText xml:space="preserve">ADDIN Mendeley Bibliography CSL_BIBLIOGRAPHY </w:instrText>
      </w:r>
      <w:r w:rsidRPr="00CE04B9">
        <w:fldChar w:fldCharType="separate"/>
      </w:r>
      <w:r w:rsidR="00BB332E" w:rsidRPr="00BB332E">
        <w:rPr>
          <w:noProof/>
        </w:rPr>
        <w:t xml:space="preserve">1. </w:t>
      </w:r>
      <w:r w:rsidR="00BB332E" w:rsidRPr="00BB332E">
        <w:rPr>
          <w:noProof/>
        </w:rPr>
        <w:tab/>
        <w:t>Bycroft C, Freeman C, Petkova D, Band G, Elliott LT, Sharp K, et al. The UK Biobank resource with deep phenotyping and genomic data. Nature. 2018;562: 203–209. doi:10.1038/s41586-018-0579-z</w:t>
      </w:r>
    </w:p>
    <w:p w14:paraId="0C23D61A" w14:textId="77777777" w:rsidR="00BB332E" w:rsidRPr="00BB332E" w:rsidRDefault="00BB332E" w:rsidP="00BB332E">
      <w:pPr>
        <w:widowControl w:val="0"/>
        <w:autoSpaceDE w:val="0"/>
        <w:autoSpaceDN w:val="0"/>
        <w:adjustRightInd w:val="0"/>
        <w:spacing w:line="360" w:lineRule="auto"/>
        <w:ind w:left="640" w:hanging="640"/>
        <w:rPr>
          <w:noProof/>
        </w:rPr>
      </w:pPr>
      <w:r w:rsidRPr="00BB332E">
        <w:rPr>
          <w:noProof/>
        </w:rPr>
        <w:t xml:space="preserve">2. </w:t>
      </w:r>
      <w:r w:rsidRPr="00BB332E">
        <w:rPr>
          <w:noProof/>
        </w:rPr>
        <w:tab/>
        <w:t>McCarthy S, Das S, Kretzschmar W, Delaneau O, Wood AR, Teumer A, et al. A reference panel of 64,976 haplotypes for genotype imputation. Nat Genet. 2016;48: 1279–1283. doi:10.1038/ng.3643</w:t>
      </w:r>
    </w:p>
    <w:p w14:paraId="55D96442" w14:textId="77777777" w:rsidR="00BB332E" w:rsidRPr="00BB332E" w:rsidRDefault="00BB332E" w:rsidP="00BB332E">
      <w:pPr>
        <w:widowControl w:val="0"/>
        <w:autoSpaceDE w:val="0"/>
        <w:autoSpaceDN w:val="0"/>
        <w:adjustRightInd w:val="0"/>
        <w:spacing w:line="360" w:lineRule="auto"/>
        <w:ind w:left="640" w:hanging="640"/>
        <w:rPr>
          <w:noProof/>
        </w:rPr>
      </w:pPr>
      <w:r w:rsidRPr="00BB332E">
        <w:rPr>
          <w:noProof/>
        </w:rPr>
        <w:lastRenderedPageBreak/>
        <w:t xml:space="preserve">3. </w:t>
      </w:r>
      <w:r w:rsidRPr="00BB332E">
        <w:rPr>
          <w:noProof/>
        </w:rPr>
        <w:tab/>
        <w:t>Manichaikul A, Mychaleckyj JC, Rich SS, Daly K, Sale M, Chen W-M. Robust relationship inference in genome-wide association studies. Bioinformatics. 2010;26: 2867–2873. doi:10.1093/bioinformatics/btq559</w:t>
      </w:r>
    </w:p>
    <w:p w14:paraId="0FE81664" w14:textId="77777777" w:rsidR="00BB332E" w:rsidRPr="00BB332E" w:rsidRDefault="00BB332E" w:rsidP="00BB332E">
      <w:pPr>
        <w:widowControl w:val="0"/>
        <w:autoSpaceDE w:val="0"/>
        <w:autoSpaceDN w:val="0"/>
        <w:adjustRightInd w:val="0"/>
        <w:spacing w:line="360" w:lineRule="auto"/>
        <w:ind w:left="640" w:hanging="640"/>
        <w:rPr>
          <w:noProof/>
        </w:rPr>
      </w:pPr>
      <w:r w:rsidRPr="00BB332E">
        <w:rPr>
          <w:noProof/>
        </w:rPr>
        <w:t xml:space="preserve">4. </w:t>
      </w:r>
      <w:r w:rsidRPr="00BB332E">
        <w:rPr>
          <w:noProof/>
        </w:rPr>
        <w:tab/>
        <w:t>Abraham G, Qiu Y, Inouye M. FlashPCA2: principal component analysis of Biobank-scale genotype datasets. Stegle O, editor. Bioinformatics. 2017;33: 2776–2778. doi:10.1093/bioinformatics/btx299</w:t>
      </w:r>
    </w:p>
    <w:p w14:paraId="6C17A54E" w14:textId="46DEBBDF" w:rsidR="00CE04B9" w:rsidRPr="00CE04B9" w:rsidRDefault="00CE04B9" w:rsidP="00CE04B9">
      <w:pPr>
        <w:spacing w:line="360" w:lineRule="auto"/>
      </w:pPr>
      <w:r w:rsidRPr="00CE04B9">
        <w:fldChar w:fldCharType="end"/>
      </w:r>
    </w:p>
    <w:sectPr w:rsidR="00CE04B9" w:rsidRPr="00CE04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4B9"/>
    <w:rsid w:val="003A6DFA"/>
    <w:rsid w:val="00856CA8"/>
    <w:rsid w:val="00BB332E"/>
    <w:rsid w:val="00CE04B9"/>
    <w:rsid w:val="00D9769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1A43"/>
  <w15:chartTrackingRefBased/>
  <w15:docId w15:val="{7637BC8A-4B00-4DFC-B3EC-6FB69CED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4B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04B9"/>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CE04B9"/>
    <w:rPr>
      <w:rFonts w:ascii="Segoe UI" w:hAnsi="Segoe UI" w:cs="Segoe UI"/>
      <w:sz w:val="18"/>
      <w:szCs w:val="18"/>
    </w:rPr>
  </w:style>
  <w:style w:type="character" w:customStyle="1" w:styleId="ListLabel1">
    <w:name w:val="ListLabel 1"/>
    <w:qFormat/>
    <w:rsid w:val="00CE04B9"/>
    <w:rPr>
      <w:rFonts w:eastAsia="Arial Unicode MS" w:cs="Arial Unicode MS"/>
      <w:color w:val="0000FF"/>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obank.ctsu.ox.ac.uk/crystal/docs/genotyping_affy_sampro.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ukbiobank.ac.uk/wp-content/uploads/2014/04/imputation_documentation_May2015.pdf" TargetMode="External"/><Relationship Id="rId4" Type="http://schemas.openxmlformats.org/officeDocument/2006/relationships/customXml" Target="../customXml/item4.xml"/><Relationship Id="rId9" Type="http://schemas.openxmlformats.org/officeDocument/2006/relationships/hyperlink" Target="http://biobank.ctsu.ox.ac.uk/crystal/docs/genotyping_q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9CF8C7A0DD294A81C051F04D0EC997" ma:contentTypeVersion="13" ma:contentTypeDescription="Create a new document." ma:contentTypeScope="" ma:versionID="bb391bcd83328ed944c6ded535bc439e">
  <xsd:schema xmlns:xsd="http://www.w3.org/2001/XMLSchema" xmlns:xs="http://www.w3.org/2001/XMLSchema" xmlns:p="http://schemas.microsoft.com/office/2006/metadata/properties" xmlns:ns3="3d72f227-f787-447d-b1cf-170f5907a0b1" xmlns:ns4="9c21d64e-8cfa-4d6d-8704-238aa09fa296" targetNamespace="http://schemas.microsoft.com/office/2006/metadata/properties" ma:root="true" ma:fieldsID="415ee8c5de1a9c6045c4e0724ec38a68" ns3:_="" ns4:_="">
    <xsd:import namespace="3d72f227-f787-447d-b1cf-170f5907a0b1"/>
    <xsd:import namespace="9c21d64e-8cfa-4d6d-8704-238aa09fa2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f227-f787-447d-b1cf-170f5907a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1d64e-8cfa-4d6d-8704-238aa09fa2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39E7C-FEAF-48C2-AC3A-55F1D72875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FCD6A5-A661-4BA2-BBB0-69BDA1DEC2F3}">
  <ds:schemaRefs>
    <ds:schemaRef ds:uri="http://schemas.microsoft.com/sharepoint/v3/contenttype/forms"/>
  </ds:schemaRefs>
</ds:datastoreItem>
</file>

<file path=customXml/itemProps3.xml><?xml version="1.0" encoding="utf-8"?>
<ds:datastoreItem xmlns:ds="http://schemas.openxmlformats.org/officeDocument/2006/customXml" ds:itemID="{40D5D84F-A8A7-4749-9B06-324A5A265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f227-f787-447d-b1cf-170f5907a0b1"/>
    <ds:schemaRef ds:uri="9c21d64e-8cfa-4d6d-8704-238aa09fa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2A5AA7-88D3-6D4D-A4CA-240FEEF46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4559</Words>
  <Characters>25991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 Kai</dc:creator>
  <cp:keywords/>
  <dc:description/>
  <cp:lastModifiedBy>Lim, Kai</cp:lastModifiedBy>
  <cp:revision>5</cp:revision>
  <dcterms:created xsi:type="dcterms:W3CDTF">2020-02-21T11:30:00Z</dcterms:created>
  <dcterms:modified xsi:type="dcterms:W3CDTF">2020-04-09T10:18:00Z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0e401184-dd4c-39a5-a26f-c4a55a639255</vt:lpwstr>
  </property>
  <property fmtid="{D5CDD505-2E9C-101B-9397-08002B2CF9AE}" pid="4" name="Mendeley Citation Style_1">
    <vt:lpwstr>http://www.zotero.org/styles/plos-medicine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http://www.zotero.org/styles/plos-medicine</vt:lpwstr>
  </property>
  <property fmtid="{D5CDD505-2E9C-101B-9397-08002B2CF9AE}" pid="20" name="Mendeley Recent Style Name 7_1">
    <vt:lpwstr>PLOS Medicine</vt:lpwstr>
  </property>
  <property fmtid="{D5CDD505-2E9C-101B-9397-08002B2CF9AE}" pid="21" name="Mendeley Recent Style Id 8_1">
    <vt:lpwstr>http://www.zotero.org/styles/the-lancet</vt:lpwstr>
  </property>
  <property fmtid="{D5CDD505-2E9C-101B-9397-08002B2CF9AE}" pid="22" name="Mendeley Recent Style Name 8_1">
    <vt:lpwstr>The Lancet</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ContentTypeId">
    <vt:lpwstr>0x010100489CF8C7A0DD294A81C051F04D0EC997</vt:lpwstr>
  </property>
</Properties>
</file>