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AAD8F" w14:textId="00052E3E" w:rsidR="00312A34" w:rsidRDefault="00731873" w:rsidP="00F91E2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1CBA7EF" wp14:editId="17D74D75">
            <wp:extent cx="5861261" cy="2448883"/>
            <wp:effectExtent l="0" t="0" r="635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1261" cy="2448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1FA8A" w14:textId="1C22B6E7" w:rsidR="00312A34" w:rsidRDefault="00312A34" w:rsidP="00F91E2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7ACF8B0A" w14:textId="77777777" w:rsidR="00312A34" w:rsidRDefault="00312A34" w:rsidP="00F91E2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EB0A196" w14:textId="1DCEE612" w:rsidR="00312A34" w:rsidRDefault="00312A34" w:rsidP="00F91E2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F</w:t>
      </w:r>
      <w:r w:rsidRPr="007E4E9D">
        <w:rPr>
          <w:rFonts w:ascii="Times New Roman" w:hAnsi="Times New Roman" w:cs="Times New Roman"/>
          <w:b/>
          <w:sz w:val="24"/>
          <w:szCs w:val="24"/>
        </w:rPr>
        <w:t xml:space="preserve">igure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7E4E9D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FABP5 and TRPV1 immunolocalization in </w:t>
      </w:r>
      <w:r w:rsidR="00215920">
        <w:rPr>
          <w:rFonts w:ascii="Times New Roman" w:hAnsi="Times New Roman" w:cs="Times New Roman"/>
          <w:sz w:val="24"/>
          <w:szCs w:val="24"/>
        </w:rPr>
        <w:t xml:space="preserve">DRGs of </w:t>
      </w:r>
      <w:r>
        <w:rPr>
          <w:rFonts w:ascii="Times New Roman" w:hAnsi="Times New Roman" w:cs="Times New Roman"/>
          <w:sz w:val="24"/>
          <w:szCs w:val="24"/>
        </w:rPr>
        <w:t xml:space="preserve">WT and FABP5 </w:t>
      </w:r>
      <w:proofErr w:type="spellStart"/>
      <w:r>
        <w:rPr>
          <w:rFonts w:ascii="Times New Roman" w:hAnsi="Times New Roman" w:cs="Times New Roman"/>
          <w:sz w:val="24"/>
          <w:szCs w:val="24"/>
        </w:rPr>
        <w:t>cKO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mice.</w:t>
      </w:r>
    </w:p>
    <w:p w14:paraId="2A58EBC7" w14:textId="118F39FF" w:rsidR="00F91E2F" w:rsidRDefault="00F91E2F" w:rsidP="00F91E2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48DC227C" wp14:editId="73589C50">
            <wp:extent cx="5761590" cy="50006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7744" cy="501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9907A" w14:textId="77777777" w:rsidR="00F91E2F" w:rsidRDefault="00F91E2F" w:rsidP="00F91E2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5945C61" w14:textId="77777777" w:rsidR="00F91E2F" w:rsidRDefault="00F91E2F" w:rsidP="00F91E2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5BDAC7F" w14:textId="5FD28948" w:rsidR="00F91E2F" w:rsidRDefault="00F91E2F" w:rsidP="00F91E2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F</w:t>
      </w:r>
      <w:r w:rsidRPr="007E4E9D">
        <w:rPr>
          <w:rFonts w:ascii="Times New Roman" w:hAnsi="Times New Roman" w:cs="Times New Roman"/>
          <w:b/>
          <w:sz w:val="24"/>
          <w:szCs w:val="24"/>
        </w:rPr>
        <w:t xml:space="preserve">igure </w:t>
      </w:r>
      <w:r w:rsidR="00312A34">
        <w:rPr>
          <w:rFonts w:ascii="Times New Roman" w:hAnsi="Times New Roman" w:cs="Times New Roman"/>
          <w:b/>
          <w:sz w:val="24"/>
          <w:szCs w:val="24"/>
        </w:rPr>
        <w:t>2</w:t>
      </w:r>
      <w:r w:rsidRPr="007E4E9D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Behavioral responses of WT male and female mice before and after carrageenan administration. Male (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) and female (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) mice were injected with vehicle or naproxen (30 mg/kg, </w:t>
      </w:r>
      <w:proofErr w:type="spellStart"/>
      <w:r>
        <w:rPr>
          <w:rFonts w:ascii="Times New Roman" w:hAnsi="Times New Roman" w:cs="Times New Roman"/>
          <w:sz w:val="24"/>
          <w:szCs w:val="24"/>
        </w:rPr>
        <w:t>i.p.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and behavioral responses were scored via the behavioral spectrometer. On the subsequent day, vehicle and naproxen administration was followed by injection of carrageenan (n = 6). </w:t>
      </w:r>
    </w:p>
    <w:p w14:paraId="6F29BF97" w14:textId="1D727E9E" w:rsidR="0010379A" w:rsidRDefault="0010379A" w:rsidP="00F91E2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C702E4B" w14:textId="2C3DFAC0" w:rsidR="0010379A" w:rsidRDefault="0010379A" w:rsidP="00F91E2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0C97542" w14:textId="252782DC" w:rsidR="0010379A" w:rsidRDefault="00451C76" w:rsidP="00F91E2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7D40025" wp14:editId="770AE4F8">
            <wp:extent cx="5849472" cy="24860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8539" cy="2489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9C37A" w14:textId="031BD0FB" w:rsidR="0010379A" w:rsidRDefault="0010379A" w:rsidP="00F91E2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D2CD2F2" w14:textId="2E04FC12" w:rsidR="0010379A" w:rsidRDefault="0010379A" w:rsidP="00F91E2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F</w:t>
      </w:r>
      <w:r w:rsidRPr="007E4E9D">
        <w:rPr>
          <w:rFonts w:ascii="Times New Roman" w:hAnsi="Times New Roman" w:cs="Times New Roman"/>
          <w:b/>
          <w:sz w:val="24"/>
          <w:szCs w:val="24"/>
        </w:rPr>
        <w:t xml:space="preserve">igure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7E4E9D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7FD2">
        <w:rPr>
          <w:rFonts w:ascii="Times New Roman" w:hAnsi="Times New Roman" w:cs="Times New Roman"/>
          <w:sz w:val="24"/>
          <w:szCs w:val="24"/>
        </w:rPr>
        <w:t xml:space="preserve">Validation of </w:t>
      </w:r>
      <w:r w:rsidR="00C5640A">
        <w:rPr>
          <w:rFonts w:ascii="Times New Roman" w:hAnsi="Times New Roman" w:cs="Times New Roman"/>
          <w:sz w:val="24"/>
          <w:szCs w:val="24"/>
        </w:rPr>
        <w:t xml:space="preserve">FAAH and NAPE-PLD </w:t>
      </w:r>
      <w:r w:rsidR="000665FA">
        <w:rPr>
          <w:rFonts w:ascii="Times New Roman" w:hAnsi="Times New Roman" w:cs="Times New Roman"/>
          <w:sz w:val="24"/>
          <w:szCs w:val="24"/>
        </w:rPr>
        <w:t xml:space="preserve">activity </w:t>
      </w:r>
      <w:r w:rsidR="002E7FD2">
        <w:rPr>
          <w:rFonts w:ascii="Times New Roman" w:hAnsi="Times New Roman" w:cs="Times New Roman"/>
          <w:sz w:val="24"/>
          <w:szCs w:val="24"/>
        </w:rPr>
        <w:t xml:space="preserve">assays. </w:t>
      </w:r>
      <w:r w:rsidR="00DE09FE">
        <w:rPr>
          <w:rFonts w:ascii="Times New Roman" w:hAnsi="Times New Roman" w:cs="Times New Roman"/>
          <w:sz w:val="24"/>
          <w:szCs w:val="24"/>
        </w:rPr>
        <w:t>(</w:t>
      </w:r>
      <w:r w:rsidR="00DE09FE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E09FE">
        <w:rPr>
          <w:rFonts w:ascii="Times New Roman" w:hAnsi="Times New Roman" w:cs="Times New Roman"/>
          <w:sz w:val="24"/>
          <w:szCs w:val="24"/>
        </w:rPr>
        <w:t xml:space="preserve">) </w:t>
      </w:r>
      <w:r w:rsidR="00757DEB">
        <w:rPr>
          <w:rFonts w:ascii="Times New Roman" w:hAnsi="Times New Roman" w:cs="Times New Roman"/>
          <w:sz w:val="24"/>
          <w:szCs w:val="24"/>
        </w:rPr>
        <w:t>Hydrolysis of AMC-AEA</w:t>
      </w:r>
      <w:r w:rsidR="00D5379D">
        <w:rPr>
          <w:rFonts w:ascii="Times New Roman" w:hAnsi="Times New Roman" w:cs="Times New Roman"/>
          <w:sz w:val="24"/>
          <w:szCs w:val="24"/>
        </w:rPr>
        <w:t xml:space="preserve"> (100 µM)</w:t>
      </w:r>
      <w:r w:rsidR="00757DEB">
        <w:rPr>
          <w:rFonts w:ascii="Times New Roman" w:hAnsi="Times New Roman" w:cs="Times New Roman"/>
          <w:sz w:val="24"/>
          <w:szCs w:val="24"/>
        </w:rPr>
        <w:t xml:space="preserve"> by HEK293 cells transfected with mouse FAAH (white bars) or vector control (black bar). </w:t>
      </w:r>
      <w:r w:rsidR="00D5379D">
        <w:rPr>
          <w:rFonts w:ascii="Times New Roman" w:hAnsi="Times New Roman" w:cs="Times New Roman"/>
          <w:sz w:val="24"/>
          <w:szCs w:val="24"/>
        </w:rPr>
        <w:t>Negative control reactions</w:t>
      </w:r>
      <w:r w:rsidR="00B0035F">
        <w:rPr>
          <w:rFonts w:ascii="Times New Roman" w:hAnsi="Times New Roman" w:cs="Times New Roman"/>
          <w:sz w:val="24"/>
          <w:szCs w:val="24"/>
        </w:rPr>
        <w:t xml:space="preserve"> only</w:t>
      </w:r>
      <w:r w:rsidR="00D5379D">
        <w:rPr>
          <w:rFonts w:ascii="Times New Roman" w:hAnsi="Times New Roman" w:cs="Times New Roman"/>
          <w:sz w:val="24"/>
          <w:szCs w:val="24"/>
        </w:rPr>
        <w:t xml:space="preserve"> contained AMC-AEA in Tris buffer (gray bar)</w:t>
      </w:r>
      <w:r w:rsidR="00282B57">
        <w:rPr>
          <w:rFonts w:ascii="Times New Roman" w:hAnsi="Times New Roman" w:cs="Times New Roman"/>
          <w:sz w:val="24"/>
          <w:szCs w:val="24"/>
        </w:rPr>
        <w:t>.</w:t>
      </w:r>
      <w:r w:rsidR="00D5379D">
        <w:rPr>
          <w:rFonts w:ascii="Times New Roman" w:hAnsi="Times New Roman" w:cs="Times New Roman"/>
          <w:sz w:val="24"/>
          <w:szCs w:val="24"/>
        </w:rPr>
        <w:t xml:space="preserve"> </w:t>
      </w:r>
      <w:r w:rsidR="00F30FE8">
        <w:rPr>
          <w:rFonts w:ascii="Times New Roman" w:hAnsi="Times New Roman" w:cs="Times New Roman"/>
          <w:sz w:val="24"/>
          <w:szCs w:val="24"/>
        </w:rPr>
        <w:t xml:space="preserve">Note that </w:t>
      </w:r>
      <w:r w:rsidR="00295EBC">
        <w:rPr>
          <w:rFonts w:ascii="Times New Roman" w:hAnsi="Times New Roman" w:cs="Times New Roman"/>
          <w:sz w:val="24"/>
          <w:szCs w:val="24"/>
        </w:rPr>
        <w:t xml:space="preserve">AMC-AEA hydrolysis is only observed in FAAH transfected cells and </w:t>
      </w:r>
      <w:r w:rsidR="00282B57">
        <w:rPr>
          <w:rFonts w:ascii="Times New Roman" w:hAnsi="Times New Roman" w:cs="Times New Roman"/>
          <w:sz w:val="24"/>
          <w:szCs w:val="24"/>
        </w:rPr>
        <w:t xml:space="preserve">is </w:t>
      </w:r>
      <w:r w:rsidR="00295EBC">
        <w:rPr>
          <w:rFonts w:ascii="Times New Roman" w:hAnsi="Times New Roman" w:cs="Times New Roman"/>
          <w:sz w:val="24"/>
          <w:szCs w:val="24"/>
        </w:rPr>
        <w:t xml:space="preserve">inhibited by </w:t>
      </w:r>
      <w:r w:rsidR="00D5379D">
        <w:rPr>
          <w:rFonts w:ascii="Times New Roman" w:hAnsi="Times New Roman" w:cs="Times New Roman"/>
          <w:sz w:val="24"/>
          <w:szCs w:val="24"/>
        </w:rPr>
        <w:t>PF3845</w:t>
      </w:r>
      <w:r w:rsidR="007E592F">
        <w:rPr>
          <w:rFonts w:ascii="Times New Roman" w:hAnsi="Times New Roman" w:cs="Times New Roman"/>
          <w:sz w:val="24"/>
          <w:szCs w:val="24"/>
        </w:rPr>
        <w:t xml:space="preserve"> </w:t>
      </w:r>
      <w:r w:rsidR="007E592F">
        <w:rPr>
          <w:rFonts w:ascii="Times New Roman" w:hAnsi="Times New Roman" w:cs="Times New Roman"/>
          <w:sz w:val="24"/>
          <w:szCs w:val="24"/>
        </w:rPr>
        <w:t>(10 µM)</w:t>
      </w:r>
      <w:r w:rsidR="009A69EB">
        <w:rPr>
          <w:rFonts w:ascii="Times New Roman" w:hAnsi="Times New Roman" w:cs="Times New Roman"/>
          <w:sz w:val="24"/>
          <w:szCs w:val="24"/>
        </w:rPr>
        <w:t>, confirming that AMC-AEA is a selective FAAH substrate</w:t>
      </w:r>
      <w:r w:rsidR="00282B57">
        <w:rPr>
          <w:rFonts w:ascii="Times New Roman" w:hAnsi="Times New Roman" w:cs="Times New Roman"/>
          <w:sz w:val="24"/>
          <w:szCs w:val="24"/>
        </w:rPr>
        <w:t xml:space="preserve"> (n = 3)</w:t>
      </w:r>
      <w:r w:rsidR="00295EBC">
        <w:rPr>
          <w:rFonts w:ascii="Times New Roman" w:hAnsi="Times New Roman" w:cs="Times New Roman"/>
          <w:sz w:val="24"/>
          <w:szCs w:val="24"/>
        </w:rPr>
        <w:t xml:space="preserve">. </w:t>
      </w:r>
      <w:r w:rsidR="000844E4">
        <w:rPr>
          <w:rFonts w:ascii="Times New Roman" w:hAnsi="Times New Roman" w:cs="Times New Roman"/>
          <w:sz w:val="24"/>
          <w:szCs w:val="24"/>
        </w:rPr>
        <w:t>(</w:t>
      </w:r>
      <w:r w:rsidR="000844E4" w:rsidRPr="006915C7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0844E4">
        <w:rPr>
          <w:rFonts w:ascii="Times New Roman" w:hAnsi="Times New Roman" w:cs="Times New Roman"/>
          <w:sz w:val="24"/>
          <w:szCs w:val="24"/>
        </w:rPr>
        <w:t xml:space="preserve">) </w:t>
      </w:r>
      <w:r w:rsidR="00282B57">
        <w:rPr>
          <w:rFonts w:ascii="Times New Roman" w:hAnsi="Times New Roman" w:cs="Times New Roman"/>
          <w:sz w:val="24"/>
          <w:szCs w:val="24"/>
        </w:rPr>
        <w:t>PED-A1 (10 µM) hydrolysis by mouse NAPE-PLD transfected HEK293 cells (white bars) incubated with vehicle (1% DMSO) or LEI-401</w:t>
      </w:r>
      <w:r w:rsidR="007E592F">
        <w:rPr>
          <w:rFonts w:ascii="Times New Roman" w:hAnsi="Times New Roman" w:cs="Times New Roman"/>
          <w:sz w:val="24"/>
          <w:szCs w:val="24"/>
        </w:rPr>
        <w:t xml:space="preserve"> </w:t>
      </w:r>
      <w:r w:rsidR="007E592F">
        <w:rPr>
          <w:rFonts w:ascii="Times New Roman" w:hAnsi="Times New Roman" w:cs="Times New Roman"/>
          <w:sz w:val="24"/>
          <w:szCs w:val="24"/>
        </w:rPr>
        <w:t>(</w:t>
      </w:r>
      <w:r w:rsidR="007E592F">
        <w:rPr>
          <w:rFonts w:ascii="Times New Roman" w:hAnsi="Times New Roman" w:cs="Times New Roman"/>
          <w:sz w:val="24"/>
          <w:szCs w:val="24"/>
        </w:rPr>
        <w:t>3</w:t>
      </w:r>
      <w:r w:rsidR="007E592F">
        <w:rPr>
          <w:rFonts w:ascii="Times New Roman" w:hAnsi="Times New Roman" w:cs="Times New Roman"/>
          <w:sz w:val="24"/>
          <w:szCs w:val="24"/>
        </w:rPr>
        <w:t xml:space="preserve">0 µM) </w:t>
      </w:r>
      <w:r w:rsidR="00282B57">
        <w:rPr>
          <w:rFonts w:ascii="Times New Roman" w:hAnsi="Times New Roman" w:cs="Times New Roman"/>
          <w:sz w:val="24"/>
          <w:szCs w:val="24"/>
        </w:rPr>
        <w:t xml:space="preserve">as well as vector transfected controls (black bar). </w:t>
      </w:r>
      <w:r w:rsidR="00872739">
        <w:rPr>
          <w:rFonts w:ascii="Times New Roman" w:hAnsi="Times New Roman" w:cs="Times New Roman"/>
          <w:sz w:val="24"/>
          <w:szCs w:val="24"/>
        </w:rPr>
        <w:t>Note that hydrolysis of the phospholipase A1 substrate PED-A1 is observed in vector transfected cells</w:t>
      </w:r>
      <w:r w:rsidR="0091565E">
        <w:rPr>
          <w:rFonts w:ascii="Times New Roman" w:hAnsi="Times New Roman" w:cs="Times New Roman"/>
          <w:sz w:val="24"/>
          <w:szCs w:val="24"/>
        </w:rPr>
        <w:t>. Importantly,</w:t>
      </w:r>
      <w:r w:rsidR="00872739">
        <w:rPr>
          <w:rFonts w:ascii="Times New Roman" w:hAnsi="Times New Roman" w:cs="Times New Roman"/>
          <w:sz w:val="24"/>
          <w:szCs w:val="24"/>
        </w:rPr>
        <w:t xml:space="preserve"> </w:t>
      </w:r>
      <w:r w:rsidR="0091565E">
        <w:rPr>
          <w:rFonts w:ascii="Times New Roman" w:hAnsi="Times New Roman" w:cs="Times New Roman"/>
          <w:sz w:val="24"/>
          <w:szCs w:val="24"/>
        </w:rPr>
        <w:t>increase</w:t>
      </w:r>
      <w:r w:rsidR="007E0151">
        <w:rPr>
          <w:rFonts w:ascii="Times New Roman" w:hAnsi="Times New Roman" w:cs="Times New Roman"/>
          <w:sz w:val="24"/>
          <w:szCs w:val="24"/>
        </w:rPr>
        <w:t>d</w:t>
      </w:r>
      <w:r w:rsidR="0091565E">
        <w:rPr>
          <w:rFonts w:ascii="Times New Roman" w:hAnsi="Times New Roman" w:cs="Times New Roman"/>
          <w:sz w:val="24"/>
          <w:szCs w:val="24"/>
        </w:rPr>
        <w:t xml:space="preserve"> PED-A1 hydrolysis is observed in </w:t>
      </w:r>
      <w:r w:rsidR="001902B5">
        <w:rPr>
          <w:rFonts w:ascii="Times New Roman" w:hAnsi="Times New Roman" w:cs="Times New Roman"/>
          <w:sz w:val="24"/>
          <w:szCs w:val="24"/>
        </w:rPr>
        <w:t>NAPE-PLD</w:t>
      </w:r>
      <w:r w:rsidR="0091565E">
        <w:rPr>
          <w:rFonts w:ascii="Times New Roman" w:hAnsi="Times New Roman" w:cs="Times New Roman"/>
          <w:sz w:val="24"/>
          <w:szCs w:val="24"/>
        </w:rPr>
        <w:t xml:space="preserve"> expressing cells</w:t>
      </w:r>
      <w:r w:rsidR="00963A8B">
        <w:rPr>
          <w:rFonts w:ascii="Times New Roman" w:hAnsi="Times New Roman" w:cs="Times New Roman"/>
          <w:sz w:val="24"/>
          <w:szCs w:val="24"/>
        </w:rPr>
        <w:t xml:space="preserve"> and</w:t>
      </w:r>
      <w:r w:rsidR="0091565E">
        <w:rPr>
          <w:rFonts w:ascii="Times New Roman" w:hAnsi="Times New Roman" w:cs="Times New Roman"/>
          <w:sz w:val="24"/>
          <w:szCs w:val="24"/>
        </w:rPr>
        <w:t xml:space="preserve"> is inhibited by the selective NAPE-PLD inhibitor LEI-401</w:t>
      </w:r>
      <w:r w:rsidR="007E0151">
        <w:rPr>
          <w:rFonts w:ascii="Times New Roman" w:hAnsi="Times New Roman" w:cs="Times New Roman"/>
          <w:sz w:val="24"/>
          <w:szCs w:val="24"/>
        </w:rPr>
        <w:t xml:space="preserve">. Consequently, </w:t>
      </w:r>
      <w:r w:rsidR="004A6C60">
        <w:rPr>
          <w:rFonts w:ascii="Times New Roman" w:hAnsi="Times New Roman" w:cs="Times New Roman"/>
          <w:sz w:val="24"/>
          <w:szCs w:val="24"/>
        </w:rPr>
        <w:t xml:space="preserve">the </w:t>
      </w:r>
      <w:r w:rsidR="004A6C60">
        <w:rPr>
          <w:rFonts w:ascii="Times New Roman" w:hAnsi="Times New Roman" w:cs="Times New Roman"/>
          <w:sz w:val="24"/>
          <w:szCs w:val="24"/>
        </w:rPr>
        <w:t xml:space="preserve">enzymatic activity </w:t>
      </w:r>
      <w:r w:rsidR="004A6C60">
        <w:rPr>
          <w:rFonts w:ascii="Times New Roman" w:hAnsi="Times New Roman" w:cs="Times New Roman"/>
          <w:sz w:val="24"/>
          <w:szCs w:val="24"/>
        </w:rPr>
        <w:t xml:space="preserve">sensitive to </w:t>
      </w:r>
      <w:r w:rsidR="007E0151">
        <w:rPr>
          <w:rFonts w:ascii="Times New Roman" w:hAnsi="Times New Roman" w:cs="Times New Roman"/>
          <w:sz w:val="24"/>
          <w:szCs w:val="24"/>
        </w:rPr>
        <w:t>LEI-401 corresponds to NAPE-PLD</w:t>
      </w:r>
      <w:r w:rsidR="001902B5">
        <w:rPr>
          <w:rFonts w:ascii="Times New Roman" w:hAnsi="Times New Roman" w:cs="Times New Roman"/>
          <w:sz w:val="24"/>
          <w:szCs w:val="24"/>
        </w:rPr>
        <w:t xml:space="preserve"> (n = 3).</w:t>
      </w:r>
      <w:r w:rsidR="005E61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2D1549" w14:textId="6BDE0256" w:rsidR="0010379A" w:rsidRDefault="0010379A" w:rsidP="00F91E2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F0C8AB6" w14:textId="2AB294CE" w:rsidR="002E7FD2" w:rsidRDefault="002E7FD2" w:rsidP="00F91E2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0035C4F" w14:textId="77777777" w:rsidR="002E7FD2" w:rsidRDefault="002E7FD2" w:rsidP="00F91E2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4FC54D3" w14:textId="11A5AEB2" w:rsidR="00C36201" w:rsidRDefault="00C36201"/>
    <w:p w14:paraId="1C2BA49A" w14:textId="35D90AA0" w:rsidR="00AD6276" w:rsidRDefault="007052DA">
      <w:r>
        <w:rPr>
          <w:noProof/>
        </w:rPr>
        <w:lastRenderedPageBreak/>
        <w:drawing>
          <wp:inline distT="0" distB="0" distL="0" distR="0" wp14:anchorId="62795C43" wp14:editId="2719BB92">
            <wp:extent cx="2781300" cy="3178629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5895" cy="3183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648B9" w14:textId="58AE63F3" w:rsidR="00AD6276" w:rsidRDefault="00AD6276"/>
    <w:p w14:paraId="353D3F9D" w14:textId="78A21E28" w:rsidR="00AD6276" w:rsidRDefault="00AD6276"/>
    <w:p w14:paraId="024C4F1F" w14:textId="02B1BB30" w:rsidR="00AD6276" w:rsidRDefault="00AD6276">
      <w:r>
        <w:rPr>
          <w:rFonts w:ascii="Times New Roman" w:hAnsi="Times New Roman" w:cs="Times New Roman"/>
          <w:b/>
          <w:sz w:val="24"/>
          <w:szCs w:val="24"/>
        </w:rPr>
        <w:t>Supplementary F</w:t>
      </w:r>
      <w:r w:rsidRPr="007E4E9D">
        <w:rPr>
          <w:rFonts w:ascii="Times New Roman" w:hAnsi="Times New Roman" w:cs="Times New Roman"/>
          <w:b/>
          <w:sz w:val="24"/>
          <w:szCs w:val="24"/>
        </w:rPr>
        <w:t xml:space="preserve">igure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7E4E9D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Full image of gel presented in Fig. 1b</w:t>
      </w:r>
      <w:r w:rsidR="00254F07">
        <w:rPr>
          <w:rFonts w:ascii="Times New Roman" w:hAnsi="Times New Roman" w:cs="Times New Roman"/>
          <w:sz w:val="24"/>
          <w:szCs w:val="24"/>
        </w:rPr>
        <w:t>.</w:t>
      </w:r>
    </w:p>
    <w:sectPr w:rsidR="00AD62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E2F"/>
    <w:rsid w:val="000665FA"/>
    <w:rsid w:val="000844E4"/>
    <w:rsid w:val="0010379A"/>
    <w:rsid w:val="001902B5"/>
    <w:rsid w:val="00215920"/>
    <w:rsid w:val="00254F07"/>
    <w:rsid w:val="00282B57"/>
    <w:rsid w:val="00295EBC"/>
    <w:rsid w:val="002E5EE6"/>
    <w:rsid w:val="002E7FD2"/>
    <w:rsid w:val="00312A34"/>
    <w:rsid w:val="00375D33"/>
    <w:rsid w:val="004346B3"/>
    <w:rsid w:val="00451C76"/>
    <w:rsid w:val="004A6C60"/>
    <w:rsid w:val="00542BC7"/>
    <w:rsid w:val="005760B7"/>
    <w:rsid w:val="005A02DC"/>
    <w:rsid w:val="005E6167"/>
    <w:rsid w:val="006915C7"/>
    <w:rsid w:val="007052DA"/>
    <w:rsid w:val="00731873"/>
    <w:rsid w:val="00757DEB"/>
    <w:rsid w:val="007E0151"/>
    <w:rsid w:val="007E592F"/>
    <w:rsid w:val="00872739"/>
    <w:rsid w:val="008E69E4"/>
    <w:rsid w:val="0091565E"/>
    <w:rsid w:val="00963A8B"/>
    <w:rsid w:val="009A69EB"/>
    <w:rsid w:val="009E04CE"/>
    <w:rsid w:val="00A94338"/>
    <w:rsid w:val="00AD6276"/>
    <w:rsid w:val="00B0035F"/>
    <w:rsid w:val="00C21432"/>
    <w:rsid w:val="00C36201"/>
    <w:rsid w:val="00C5640A"/>
    <w:rsid w:val="00CA5972"/>
    <w:rsid w:val="00D107C5"/>
    <w:rsid w:val="00D5379D"/>
    <w:rsid w:val="00DD0F86"/>
    <w:rsid w:val="00DE09FE"/>
    <w:rsid w:val="00E15364"/>
    <w:rsid w:val="00ED24E2"/>
    <w:rsid w:val="00F30FE8"/>
    <w:rsid w:val="00F91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1372C"/>
  <w15:chartTrackingRefBased/>
  <w15:docId w15:val="{A4E8A37F-50E3-4101-B9D4-A0AB087BF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E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434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</dc:creator>
  <cp:keywords/>
  <dc:description/>
  <cp:lastModifiedBy>MK</cp:lastModifiedBy>
  <cp:revision>2</cp:revision>
  <dcterms:created xsi:type="dcterms:W3CDTF">2022-05-13T15:31:00Z</dcterms:created>
  <dcterms:modified xsi:type="dcterms:W3CDTF">2022-05-13T15:31:00Z</dcterms:modified>
</cp:coreProperties>
</file>