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B03" w:rsidRPr="0041614E" w:rsidRDefault="00644B03" w:rsidP="00644B03">
      <w:pPr>
        <w:pStyle w:val="Beschriftung"/>
        <w:keepNext/>
        <w:spacing w:after="0"/>
        <w:outlineLvl w:val="0"/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</w:pPr>
      <w:r w:rsidRPr="006F286C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Supplementary Table </w:t>
      </w:r>
      <w:r w:rsidR="00D56E6A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2</w:t>
      </w:r>
      <w:bookmarkStart w:id="0" w:name="_GoBack"/>
      <w:bookmarkEnd w:id="0"/>
      <w:r w:rsidRPr="006F286C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: Change in </w:t>
      </w:r>
      <w:r w:rsidR="00ED3A0C" w:rsidRPr="006F286C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endpoint </w:t>
      </w:r>
      <w:r w:rsidRPr="006F286C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subscores during open-label administration of nabilone, patients n=38</w:t>
      </w:r>
      <w:r w:rsidRPr="0041614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tbl>
      <w:tblPr>
        <w:tblStyle w:val="Tabellenraster"/>
        <w:tblW w:w="8498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2687"/>
        <w:gridCol w:w="1417"/>
        <w:gridCol w:w="1276"/>
        <w:gridCol w:w="1984"/>
        <w:gridCol w:w="1134"/>
      </w:tblGrid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b/>
                <w:color w:val="000000" w:themeColor="text1"/>
                <w:sz w:val="18"/>
                <w:szCs w:val="18"/>
                <w:lang w:val="en-US"/>
              </w:rPr>
              <w:t>Baseline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b/>
                <w:color w:val="000000" w:themeColor="text1"/>
                <w:sz w:val="18"/>
                <w:szCs w:val="18"/>
                <w:lang w:val="en-US"/>
              </w:rPr>
              <w:t>Randomization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b/>
                <w:color w:val="000000" w:themeColor="text1"/>
                <w:sz w:val="18"/>
                <w:szCs w:val="18"/>
                <w:lang w:val="en-US"/>
              </w:rPr>
              <w:t>Mean change (95% CI) from BL to R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p-value </w:t>
            </w:r>
            <w:r w:rsidRPr="0041614E">
              <w:rPr>
                <w:b/>
                <w:color w:val="000000" w:themeColor="text1"/>
                <w:sz w:val="18"/>
                <w:szCs w:val="18"/>
                <w:vertAlign w:val="superscript"/>
                <w:lang w:val="en-US"/>
              </w:rPr>
              <w:t>1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MDS-UPDRS-I items:</w:t>
            </w:r>
          </w:p>
        </w:tc>
        <w:tc>
          <w:tcPr>
            <w:tcW w:w="141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MDS-UPDRS 1.1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0.63 ±0.71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0.63 ±0.68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0.00 (-0.20; 0.20)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0.942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1.2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0.05 ±0.23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0.05 ±0.23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NA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1.000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1.3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0.95 ±0.80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0.53 ±0.69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-0.42 (-0.65; -0.20)</w:t>
            </w:r>
          </w:p>
        </w:tc>
        <w:tc>
          <w:tcPr>
            <w:tcW w:w="1134" w:type="dxa"/>
            <w:shd w:val="clear" w:color="auto" w:fill="auto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0.001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1.4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1.39 ±1.00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0.79 ±0.96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-0.61 (-0.91; -0.30)</w:t>
            </w:r>
          </w:p>
        </w:tc>
        <w:tc>
          <w:tcPr>
            <w:tcW w:w="1134" w:type="dxa"/>
            <w:shd w:val="clear" w:color="auto" w:fill="auto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0.001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MDS-UPDRS 1.5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0.76 ±0.85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0.61 ±0.92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-0.16 (-0.47; 0.15)</w:t>
            </w:r>
          </w:p>
        </w:tc>
        <w:tc>
          <w:tcPr>
            <w:tcW w:w="1134" w:type="dxa"/>
            <w:shd w:val="clear" w:color="auto" w:fill="auto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0.270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1.6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0.13 ±0.34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0.21 ±0.47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0.08 (-0.06; 0.22)</w:t>
            </w:r>
          </w:p>
        </w:tc>
        <w:tc>
          <w:tcPr>
            <w:tcW w:w="1134" w:type="dxa"/>
            <w:shd w:val="clear" w:color="auto" w:fill="auto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0.257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1.7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2.50 ±1.11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0.76 ±0.97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-1.74 (-2.06; -1.42)</w:t>
            </w:r>
          </w:p>
        </w:tc>
        <w:tc>
          <w:tcPr>
            <w:tcW w:w="1134" w:type="dxa"/>
            <w:shd w:val="clear" w:color="auto" w:fill="auto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&lt;0.001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1.8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1.08 ±0.88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0.95 ±0.77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-0.13 (-0.41; 0.15)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0.340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1.9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2.32 ±1.02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1.68 ±1.04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-0.63 (-0.93; -0.33)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&lt;0.001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MDS-UPDRS 1.10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1.00 ±1.29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1.00 ±1.27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0.00 (-0.20; 0.20)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1.000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MDS-UPDRS 1.11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0.79 ±1.02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0.63 ±0.85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-0.16 (-0.44; 0.12)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0.273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 MDS-UPDRS 1.12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0.55 ±0.76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0.71 ±0.69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0.16 (-0.11; 0.43)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0.243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MDS-UPDRS 1.13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0.74 ±0.92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0.55 ±0.83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-0.18 (-0.48; 0.11)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0.236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Subdomains:</w:t>
            </w:r>
          </w:p>
        </w:tc>
        <w:tc>
          <w:tcPr>
            <w:tcW w:w="141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 1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1.42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2.79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1.79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2.17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0.37 (-0.53; 1.27)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0.202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Subdomain2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13.29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8.29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8.42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7.72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-4.87 (-6.99; -2.75)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&lt;0.001</w:t>
            </w:r>
          </w:p>
        </w:tc>
      </w:tr>
      <w:tr w:rsidR="0041614E" w:rsidRPr="0041614E" w:rsidTr="007E6E28">
        <w:trPr>
          <w:trHeight w:val="225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Subdomain3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8.00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7.49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7.24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8.84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-0.76 (-2.94; 1.41)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0.166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Subdomain4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0.97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3.11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0.92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3.08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-0.05 (-0.22; 0.12)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0.527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Subdomain5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2.61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3.75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3.50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4.68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0.90 (-0.04; 1.83)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0.068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Subdomain6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3.84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4.64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2.89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3.55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-0.95 (-2.17; 0.27)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0.226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Subdomain7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6.68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6.79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6.37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7.11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-0.32 (-1.43; 0.80)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0.345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Subdomain8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1.50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5.43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0.21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-1.29 (-3.09; 0.51)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0.246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NMSS Subdomain9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11.16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9.63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8.45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5.86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-2.71 (-4.86; -0.56)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0.010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SI Dimensions:</w:t>
            </w:r>
          </w:p>
        </w:tc>
        <w:tc>
          <w:tcPr>
            <w:tcW w:w="141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1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24.67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20.50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23.16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20.26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-1.51 (-4.82;1.79)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0.094</w:t>
            </w:r>
          </w:p>
        </w:tc>
      </w:tr>
      <w:tr w:rsidR="0041614E" w:rsidRPr="0041614E" w:rsidTr="007E6E28">
        <w:trPr>
          <w:trHeight w:val="242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2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20.29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16.59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19.63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14.88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-0.66 (-4.10; 2.78)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0.585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3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27.41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20.20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27.96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19.61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0.55 (-3.74; 4.83)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1.000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4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19.24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21.52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20.40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20.38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1.15 (-1.75; 4.05)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0.609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5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13.38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19.90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14.69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19.51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1.32 (-1.77; 4.41)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0.350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6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25.33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18.89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25.49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18.23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0.17 (-4.35; 4.68)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0.956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7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19.96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20.83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19.30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20.88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-0.66 (-5.65; 4.33)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0.668</w:t>
            </w:r>
          </w:p>
        </w:tc>
      </w:tr>
      <w:tr w:rsidR="0041614E" w:rsidRPr="0041614E" w:rsidTr="007E6E28">
        <w:trPr>
          <w:trHeight w:val="114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PDQ-39 Dimension 8 SI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34.87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25.84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34.65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26.18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-0.22 (-5.29; 4.86)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0.978</w:t>
            </w:r>
          </w:p>
        </w:tc>
      </w:tr>
      <w:tr w:rsidR="0041614E" w:rsidRPr="0041614E" w:rsidTr="007E6E28">
        <w:tc>
          <w:tcPr>
            <w:tcW w:w="2687" w:type="dxa"/>
          </w:tcPr>
          <w:p w:rsidR="00644B03" w:rsidRPr="0041614E" w:rsidRDefault="00644B03" w:rsidP="00644B03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Domains: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1614E" w:rsidRPr="0041614E" w:rsidTr="007E6E28">
        <w:trPr>
          <w:trHeight w:val="208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1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5.68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4.57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5.37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4.24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-0.32 (-2.00; 1.37)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0.618</w:t>
            </w:r>
          </w:p>
        </w:tc>
      </w:tr>
      <w:tr w:rsidR="0041614E" w:rsidRPr="0041614E" w:rsidTr="007E6E28">
        <w:trPr>
          <w:trHeight w:val="240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2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1.11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3.65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0.42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1.62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-0.68 (-1.58; 0.21)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0.063</w:t>
            </w:r>
          </w:p>
        </w:tc>
      </w:tr>
      <w:tr w:rsidR="0041614E" w:rsidRPr="0041614E" w:rsidTr="007E6E28">
        <w:trPr>
          <w:trHeight w:val="240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3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1.58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3.06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0.97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3.04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-0.61 (-1.58; 0.37)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0.123</w:t>
            </w:r>
          </w:p>
        </w:tc>
      </w:tr>
      <w:tr w:rsidR="0041614E" w:rsidRPr="0041614E" w:rsidTr="007E6E28">
        <w:trPr>
          <w:trHeight w:val="240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4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5.18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5.61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3.71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5.29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-1.47 (-2.80; -0.15)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0.034</w:t>
            </w:r>
          </w:p>
        </w:tc>
      </w:tr>
      <w:tr w:rsidR="0041614E" w:rsidRPr="0041614E" w:rsidTr="007E6E28">
        <w:trPr>
          <w:trHeight w:val="240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5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0.37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1.03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0.32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1.07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-0.05 (-0.53; 0.42)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0.734</w:t>
            </w:r>
          </w:p>
        </w:tc>
      </w:tr>
      <w:tr w:rsidR="0041614E" w:rsidRPr="0041614E" w:rsidTr="007E6E28">
        <w:trPr>
          <w:trHeight w:val="240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6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1.92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4.52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2.45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4.71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0.53 (-0.30; 1.35)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0.277</w:t>
            </w:r>
          </w:p>
        </w:tc>
      </w:tr>
      <w:tr w:rsidR="0041614E" w:rsidRPr="0041614E" w:rsidTr="007E6E28">
        <w:trPr>
          <w:trHeight w:val="239"/>
        </w:trPr>
        <w:tc>
          <w:tcPr>
            <w:tcW w:w="2687" w:type="dxa"/>
          </w:tcPr>
          <w:p w:rsidR="00644B03" w:rsidRPr="0041614E" w:rsidRDefault="00644B03" w:rsidP="007E6E28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KPPS Domain 7</w:t>
            </w:r>
          </w:p>
        </w:tc>
        <w:tc>
          <w:tcPr>
            <w:tcW w:w="1417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5.16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4.75</w:t>
            </w:r>
          </w:p>
        </w:tc>
        <w:tc>
          <w:tcPr>
            <w:tcW w:w="1276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 xml:space="preserve">4.03 </w:t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sym w:font="Symbol" w:char="F0B1"/>
            </w: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4.26</w:t>
            </w:r>
          </w:p>
        </w:tc>
        <w:tc>
          <w:tcPr>
            <w:tcW w:w="198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-1.13 (-2.48; 0.21)</w:t>
            </w:r>
          </w:p>
        </w:tc>
        <w:tc>
          <w:tcPr>
            <w:tcW w:w="1134" w:type="dxa"/>
          </w:tcPr>
          <w:p w:rsidR="00644B03" w:rsidRPr="0041614E" w:rsidRDefault="00644B03" w:rsidP="007E6E28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41614E">
              <w:rPr>
                <w:color w:val="000000" w:themeColor="text1"/>
                <w:sz w:val="18"/>
                <w:szCs w:val="18"/>
                <w:lang w:val="en-US"/>
              </w:rPr>
              <w:t>0.066</w:t>
            </w:r>
          </w:p>
        </w:tc>
      </w:tr>
    </w:tbl>
    <w:p w:rsidR="00644B03" w:rsidRPr="0041614E" w:rsidRDefault="00644B03" w:rsidP="00644B03">
      <w:pPr>
        <w:spacing w:line="240" w:lineRule="auto"/>
        <w:rPr>
          <w:color w:val="000000" w:themeColor="text1"/>
          <w:sz w:val="16"/>
          <w:szCs w:val="16"/>
          <w:lang w:val="en-US"/>
        </w:rPr>
      </w:pPr>
      <w:r w:rsidRPr="0041614E">
        <w:rPr>
          <w:color w:val="000000" w:themeColor="text1"/>
          <w:sz w:val="16"/>
          <w:szCs w:val="16"/>
          <w:lang w:val="en-US"/>
        </w:rPr>
        <w:t xml:space="preserve">Data of continuous variables are presented as mean ± standard deviation (endpoint scores at baseline and randomization) or mean (95% CI) (change of endpoint scores). </w:t>
      </w:r>
      <w:r w:rsidRPr="0041614E">
        <w:rPr>
          <w:color w:val="000000" w:themeColor="text1"/>
          <w:sz w:val="16"/>
          <w:szCs w:val="16"/>
          <w:vertAlign w:val="superscript"/>
          <w:lang w:val="en-US"/>
        </w:rPr>
        <w:t xml:space="preserve">1 </w:t>
      </w:r>
      <w:r w:rsidRPr="0041614E">
        <w:rPr>
          <w:color w:val="000000" w:themeColor="text1"/>
          <w:sz w:val="16"/>
          <w:szCs w:val="16"/>
          <w:lang w:val="en-US"/>
        </w:rPr>
        <w:t>Within group comparison. For all p-values, significance level was set at p≤0.05.</w:t>
      </w:r>
    </w:p>
    <w:p w:rsidR="00644B03" w:rsidRPr="0041614E" w:rsidRDefault="00644B03" w:rsidP="00644B03">
      <w:pPr>
        <w:spacing w:line="240" w:lineRule="auto"/>
        <w:rPr>
          <w:color w:val="000000" w:themeColor="text1"/>
          <w:sz w:val="16"/>
          <w:szCs w:val="16"/>
          <w:lang w:val="en-US"/>
        </w:rPr>
      </w:pPr>
      <w:r w:rsidRPr="0041614E">
        <w:rPr>
          <w:color w:val="000000" w:themeColor="text1"/>
          <w:sz w:val="16"/>
          <w:szCs w:val="16"/>
          <w:lang w:val="en-US"/>
        </w:rPr>
        <w:t>Abbreviations: MDS-UPDRS, Movement Disorder Society- Unified Parkinson´s Disease Rating Scale; NMSS, Non-Motor Symptoms Scale; PDQ-39, Parkinson´s Disease Questionnaire-39; SI, Summary Index; KPPS, King´s Parkinson´s Disease Pain Scale; BL, Baseline; R, Randomization; CI, confidence interval; NA, not applicable. Higher Score values indicate worse outcome in all scales and questionnaires.</w:t>
      </w:r>
    </w:p>
    <w:p w:rsidR="00BE51FC" w:rsidRPr="0041614E" w:rsidRDefault="00644B03" w:rsidP="00644B03">
      <w:pPr>
        <w:spacing w:line="240" w:lineRule="auto"/>
        <w:rPr>
          <w:color w:val="000000" w:themeColor="text1"/>
          <w:sz w:val="16"/>
          <w:szCs w:val="16"/>
          <w:lang w:val="en-US"/>
        </w:rPr>
      </w:pPr>
      <w:r w:rsidRPr="0041614E">
        <w:rPr>
          <w:color w:val="000000" w:themeColor="text1"/>
          <w:sz w:val="16"/>
          <w:szCs w:val="16"/>
          <w:lang w:val="en-US"/>
        </w:rPr>
        <w:t>MDS-UPDRS items: 1.1: Cognitive impairment, 1.2: Hallucinations and psychosis, 1.3: Depressed Mood, 1.4: Anxious Mood, 1.5: Apathy, 1.6: Features of dopamine dysregulation syndrome, 1.7: Nighttime sleep problems, 1.8: Daytime sleepiness, 1.9: Pain and other sensations, 1.10: Urinary problems, 1.11: Constipation problems, 1.12: Lightheadedness on standing, 1.13: Fatigue. NMSS Domains: Domain 1: Cardiovascular: Item 1: Light-headedness, Item 2: Fainting. Domain 2: Sleep/Fatigue: Item 3: Daytime sleepiness, Item 4: Fatigue, Item 5: Difficulty falling asleep, Item 6: Restless legs. Domain 3: Mood/Apathy: Item 7: Lost interest in surroundings, Item 8: Lack motivation, Item 9: Feel nervous, Item 10: Seem sad, Item 11: Flat mood, Item 12: Difficulty experiencing pleasure. Domain 4: Perceptual problems/Hallucinations: Item 13: Hallucinations, Item 14: Delusions, Item 15: Double vision. Domain 5: Attention/Memory:  Item 16: Concentration, Item 17: Forget things or events, Item 18: Forget to do things. Domain 6: Gastrointestinal: Item 19: Saliva, Item 20: Swallowing, Item 21: Constipation. Domain 7: Urinary: Item 22: Urgency, Item 23: Frequency, Item 24: Nocturia. Domain 8: Sexual dysfunction: Item 25: Interest in sex, Item 26: Problems having sex. Domain 9: Miscellaneous: Item 27: Pain, Item 28: Taste or smell, Item 29: Weight change, Item 30: Excessive sweating. KPPS Subdomains: Domain 1: Musculoskeletal Pain, Domain 2: Chronic pain, Domain 3: Fluctuation-related pain, Domain 4: Nocturnal pain, Domain 5: Oro-facial pain, Domain 6: Discoloration, edema/swelling, Domain 7: Radicular pain. PDQ-39 Subdomains: Domain 1: Mobility (10 items), Domain 2: Activities of daily living (6 items), Domain 3: Emotional well-being (6 items), Domain 4: Stigma (4 items), Domain 5: Social support (3 items), Domain 6: Cognitions (4 items), Domain 7: Communication (3 items), Domain 8: Bodily discomfort (3 items).</w:t>
      </w:r>
    </w:p>
    <w:sectPr w:rsidR="00BE51FC" w:rsidRPr="004161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B03"/>
    <w:rsid w:val="001201F3"/>
    <w:rsid w:val="003C34A8"/>
    <w:rsid w:val="0041614E"/>
    <w:rsid w:val="00644B03"/>
    <w:rsid w:val="006F286C"/>
    <w:rsid w:val="007D569C"/>
    <w:rsid w:val="00BD6E94"/>
    <w:rsid w:val="00BE51FC"/>
    <w:rsid w:val="00D56E6A"/>
    <w:rsid w:val="00ED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633A"/>
  <w15:chartTrackingRefBased/>
  <w15:docId w15:val="{42CADEB4-BE4B-4DC2-A549-D2642314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644B03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44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44B03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4B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4B03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Marina Peball</cp:lastModifiedBy>
  <cp:revision>3</cp:revision>
  <dcterms:created xsi:type="dcterms:W3CDTF">2020-05-27T18:23:00Z</dcterms:created>
  <dcterms:modified xsi:type="dcterms:W3CDTF">2020-05-27T18:50:00Z</dcterms:modified>
</cp:coreProperties>
</file>