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98937" w14:textId="7F066F0C" w:rsidR="00FC402F" w:rsidRPr="00C356F9" w:rsidRDefault="00FC402F" w:rsidP="00FC402F">
      <w:pPr>
        <w:spacing w:after="0" w:line="360" w:lineRule="auto"/>
        <w:contextualSpacing/>
        <w:jc w:val="center"/>
        <w:rPr>
          <w:rFonts w:eastAsia="Calibri"/>
          <w:b/>
          <w:lang w:val="en-US" w:eastAsia="en-US"/>
        </w:rPr>
      </w:pPr>
      <w:r w:rsidRPr="00C356F9">
        <w:rPr>
          <w:rFonts w:eastAsia="Calibri"/>
          <w:b/>
          <w:lang w:val="en-US" w:eastAsia="en-US"/>
        </w:rPr>
        <w:t xml:space="preserve">SUPPLEMENTARY FIGURE </w:t>
      </w:r>
      <w:r w:rsidR="002C6B26">
        <w:rPr>
          <w:rFonts w:eastAsia="Calibri"/>
          <w:b/>
          <w:lang w:val="en-US" w:eastAsia="en-US"/>
        </w:rPr>
        <w:t>CAPTIONS</w:t>
      </w:r>
    </w:p>
    <w:p w14:paraId="543E7629" w14:textId="77777777" w:rsidR="00277651" w:rsidRDefault="00277651" w:rsidP="00FC402F">
      <w:pPr>
        <w:spacing w:after="0" w:line="360" w:lineRule="auto"/>
        <w:contextualSpacing/>
        <w:jc w:val="both"/>
        <w:rPr>
          <w:rFonts w:asciiTheme="majorHAnsi" w:eastAsia="Calibri" w:hAnsiTheme="majorHAnsi" w:cstheme="majorHAnsi"/>
          <w:b/>
          <w:bCs/>
          <w:lang w:val="en-US" w:eastAsia="en-US"/>
        </w:rPr>
      </w:pPr>
    </w:p>
    <w:p w14:paraId="10D1CD9D" w14:textId="183C16AC" w:rsidR="00FC402F" w:rsidRPr="00277651" w:rsidRDefault="00277651" w:rsidP="00FC402F">
      <w:pPr>
        <w:spacing w:after="0" w:line="360" w:lineRule="auto"/>
        <w:contextualSpacing/>
        <w:jc w:val="both"/>
        <w:rPr>
          <w:rFonts w:asciiTheme="majorHAnsi" w:eastAsia="Calibri" w:hAnsiTheme="majorHAnsi" w:cstheme="majorHAnsi"/>
          <w:b/>
          <w:bCs/>
          <w:lang w:val="en-US" w:eastAsia="en-US"/>
        </w:rPr>
      </w:pPr>
      <w:r>
        <w:rPr>
          <w:rFonts w:asciiTheme="majorHAnsi" w:eastAsia="Calibri" w:hAnsiTheme="majorHAnsi" w:cstheme="majorHAnsi"/>
          <w:b/>
          <w:bCs/>
          <w:lang w:val="en-US" w:eastAsia="en-US"/>
        </w:rPr>
        <w:t>F</w:t>
      </w:r>
      <w:r w:rsidRPr="00277651">
        <w:rPr>
          <w:rFonts w:asciiTheme="majorHAnsi" w:eastAsia="Calibri" w:hAnsiTheme="majorHAnsi" w:cstheme="majorHAnsi"/>
          <w:b/>
          <w:bCs/>
          <w:lang w:val="en-US" w:eastAsia="en-US"/>
        </w:rPr>
        <w:t>igure 1</w:t>
      </w:r>
    </w:p>
    <w:p w14:paraId="6379FFF3" w14:textId="703A32E6" w:rsidR="00FC402F" w:rsidRDefault="00FC402F" w:rsidP="00FC402F">
      <w:pPr>
        <w:spacing w:after="0" w:line="360" w:lineRule="auto"/>
        <w:contextualSpacing/>
        <w:jc w:val="both"/>
        <w:rPr>
          <w:rFonts w:asciiTheme="majorHAnsi" w:eastAsia="Calibri" w:hAnsiTheme="majorHAnsi" w:cstheme="majorHAnsi"/>
          <w:lang w:val="en-US" w:eastAsia="en-US"/>
        </w:rPr>
      </w:pPr>
      <w:r w:rsidRPr="0048309C">
        <w:rPr>
          <w:rFonts w:asciiTheme="majorHAnsi" w:eastAsia="Calibri" w:hAnsiTheme="majorHAnsi" w:cstheme="majorHAnsi"/>
          <w:lang w:val="en-US" w:eastAsia="en-US"/>
        </w:rPr>
        <w:t>MS analysis of (A) Ole-PEG2000-Succ (</w:t>
      </w:r>
      <w:proofErr w:type="spellStart"/>
      <w:proofErr w:type="gramStart"/>
      <w:r w:rsidRPr="0048309C">
        <w:rPr>
          <w:rFonts w:asciiTheme="majorHAnsi" w:eastAsia="Calibri" w:hAnsiTheme="majorHAnsi" w:cstheme="majorHAnsi"/>
          <w:lang w:val="en-US" w:eastAsia="en-US"/>
        </w:rPr>
        <w:t>m.wt</w:t>
      </w:r>
      <w:proofErr w:type="spellEnd"/>
      <w:proofErr w:type="gramEnd"/>
      <w:r w:rsidRPr="0048309C">
        <w:rPr>
          <w:rFonts w:asciiTheme="majorHAnsi" w:eastAsia="Calibri" w:hAnsiTheme="majorHAnsi" w:cstheme="majorHAnsi"/>
          <w:lang w:val="en-US" w:eastAsia="en-US"/>
        </w:rPr>
        <w:t xml:space="preserve"> ~2362) (B) Ole-PEG2000-HAP</w:t>
      </w:r>
      <w:r w:rsidR="00ED4C5D">
        <w:rPr>
          <w:rFonts w:asciiTheme="majorHAnsi" w:eastAsia="Calibri" w:hAnsiTheme="majorHAnsi" w:cstheme="majorHAnsi"/>
          <w:lang w:val="en-US" w:eastAsia="en-US"/>
        </w:rPr>
        <w:t>-1</w:t>
      </w:r>
      <w:r w:rsidRPr="0048309C">
        <w:rPr>
          <w:rFonts w:asciiTheme="majorHAnsi" w:eastAsia="Calibri" w:hAnsiTheme="majorHAnsi" w:cstheme="majorHAnsi"/>
          <w:lang w:val="en-US" w:eastAsia="en-US"/>
        </w:rPr>
        <w:t xml:space="preserve"> (</w:t>
      </w:r>
      <w:proofErr w:type="spellStart"/>
      <w:r w:rsidRPr="0048309C">
        <w:rPr>
          <w:rFonts w:asciiTheme="majorHAnsi" w:eastAsia="Calibri" w:hAnsiTheme="majorHAnsi" w:cstheme="majorHAnsi"/>
          <w:lang w:val="en-US" w:eastAsia="en-US"/>
        </w:rPr>
        <w:t>m.wt</w:t>
      </w:r>
      <w:proofErr w:type="spellEnd"/>
      <w:r w:rsidRPr="0048309C">
        <w:rPr>
          <w:rFonts w:asciiTheme="majorHAnsi" w:eastAsia="Calibri" w:hAnsiTheme="majorHAnsi" w:cstheme="majorHAnsi"/>
          <w:lang w:val="en-US" w:eastAsia="en-US"/>
        </w:rPr>
        <w:t xml:space="preserve"> ~3682) and </w:t>
      </w:r>
      <w:r w:rsidRPr="0048309C">
        <w:rPr>
          <w:rFonts w:asciiTheme="majorHAnsi" w:eastAsia="Calibri" w:hAnsiTheme="majorHAnsi" w:cstheme="majorHAnsi"/>
          <w:b/>
          <w:lang w:val="en-US" w:eastAsia="en-US"/>
        </w:rPr>
        <w:t xml:space="preserve">(C) </w:t>
      </w:r>
      <w:r w:rsidRPr="0048309C">
        <w:rPr>
          <w:rFonts w:asciiTheme="majorHAnsi" w:eastAsia="Calibri" w:hAnsiTheme="majorHAnsi" w:cstheme="majorHAnsi"/>
          <w:lang w:val="en-US" w:eastAsia="en-US"/>
        </w:rPr>
        <w:t>Ole-PEG2000-sHAP</w:t>
      </w:r>
      <w:r w:rsidR="00883728">
        <w:rPr>
          <w:rFonts w:asciiTheme="majorHAnsi" w:eastAsia="Calibri" w:hAnsiTheme="majorHAnsi" w:cstheme="majorHAnsi"/>
          <w:lang w:val="en-US" w:eastAsia="en-US"/>
        </w:rPr>
        <w:t>-1</w:t>
      </w:r>
      <w:r w:rsidRPr="0048309C">
        <w:rPr>
          <w:rFonts w:asciiTheme="majorHAnsi" w:eastAsia="Calibri" w:hAnsiTheme="majorHAnsi" w:cstheme="majorHAnsi"/>
          <w:lang w:val="en-US" w:eastAsia="en-US"/>
        </w:rPr>
        <w:t xml:space="preserve"> (</w:t>
      </w:r>
      <w:proofErr w:type="spellStart"/>
      <w:r w:rsidRPr="0048309C">
        <w:rPr>
          <w:rFonts w:asciiTheme="majorHAnsi" w:eastAsia="Calibri" w:hAnsiTheme="majorHAnsi" w:cstheme="majorHAnsi"/>
          <w:lang w:val="en-US" w:eastAsia="en-US"/>
        </w:rPr>
        <w:t>m.wt</w:t>
      </w:r>
      <w:proofErr w:type="spellEnd"/>
      <w:r w:rsidRPr="0048309C">
        <w:rPr>
          <w:rFonts w:asciiTheme="majorHAnsi" w:eastAsia="Calibri" w:hAnsiTheme="majorHAnsi" w:cstheme="majorHAnsi"/>
          <w:lang w:val="en-US" w:eastAsia="en-US"/>
        </w:rPr>
        <w:t xml:space="preserve"> ~3682) confirmed the correct weight of the conjugated deprotected peptides. </w:t>
      </w:r>
    </w:p>
    <w:p w14:paraId="61B83E9D" w14:textId="77777777" w:rsidR="00277651" w:rsidRPr="0048309C" w:rsidRDefault="00277651" w:rsidP="00FC402F">
      <w:pPr>
        <w:spacing w:after="0" w:line="360" w:lineRule="auto"/>
        <w:contextualSpacing/>
        <w:jc w:val="both"/>
        <w:rPr>
          <w:rFonts w:asciiTheme="majorHAnsi" w:eastAsia="Calibri" w:hAnsiTheme="majorHAnsi" w:cstheme="majorHAnsi"/>
          <w:lang w:val="en-US" w:eastAsia="en-US"/>
        </w:rPr>
      </w:pPr>
    </w:p>
    <w:p w14:paraId="5A5D028A" w14:textId="68406FAB" w:rsidR="00FC402F" w:rsidRPr="00277651" w:rsidRDefault="00277651" w:rsidP="00FC402F">
      <w:pPr>
        <w:spacing w:after="0" w:line="360" w:lineRule="auto"/>
        <w:contextualSpacing/>
        <w:jc w:val="both"/>
        <w:rPr>
          <w:rFonts w:asciiTheme="majorHAnsi" w:eastAsia="Calibri" w:hAnsiTheme="majorHAnsi" w:cstheme="majorHAnsi"/>
          <w:b/>
          <w:bCs/>
          <w:lang w:val="en-US" w:eastAsia="en-US"/>
        </w:rPr>
      </w:pPr>
      <w:r>
        <w:rPr>
          <w:rFonts w:asciiTheme="majorHAnsi" w:eastAsia="Calibri" w:hAnsiTheme="majorHAnsi" w:cstheme="majorHAnsi"/>
          <w:b/>
          <w:bCs/>
          <w:lang w:val="en-US" w:eastAsia="en-US"/>
        </w:rPr>
        <w:t>F</w:t>
      </w:r>
      <w:r w:rsidRPr="00277651">
        <w:rPr>
          <w:rFonts w:asciiTheme="majorHAnsi" w:eastAsia="Calibri" w:hAnsiTheme="majorHAnsi" w:cstheme="majorHAnsi"/>
          <w:b/>
          <w:bCs/>
          <w:lang w:val="en-US" w:eastAsia="en-US"/>
        </w:rPr>
        <w:t>igure 2</w:t>
      </w:r>
    </w:p>
    <w:p w14:paraId="3BE3A26C" w14:textId="77777777" w:rsidR="00ED4C5D" w:rsidRPr="0048309C" w:rsidRDefault="00ED4C5D" w:rsidP="00ED4C5D">
      <w:pPr>
        <w:spacing w:after="0" w:line="360" w:lineRule="auto"/>
        <w:contextualSpacing/>
        <w:jc w:val="both"/>
        <w:rPr>
          <w:rFonts w:asciiTheme="majorHAnsi" w:eastAsia="Calibri" w:hAnsiTheme="majorHAnsi" w:cstheme="majorHAnsi"/>
          <w:lang w:val="en-US" w:eastAsia="en-US"/>
        </w:rPr>
      </w:pPr>
      <w:r w:rsidRPr="0048309C">
        <w:rPr>
          <w:rFonts w:asciiTheme="majorHAnsi" w:eastAsia="Calibri" w:hAnsiTheme="majorHAnsi" w:cstheme="majorHAnsi"/>
          <w:lang w:val="en-US" w:eastAsia="en-US"/>
        </w:rPr>
        <w:t>(A)</w:t>
      </w:r>
      <w:r w:rsidRPr="0048309C">
        <w:rPr>
          <w:rFonts w:asciiTheme="majorHAnsi" w:eastAsia="Calibri" w:hAnsiTheme="majorHAnsi" w:cstheme="majorHAnsi"/>
          <w:lang w:eastAsia="en-US"/>
        </w:rPr>
        <w:t xml:space="preserve"> </w:t>
      </w:r>
      <w:r w:rsidRPr="0048309C">
        <w:rPr>
          <w:rFonts w:asciiTheme="majorHAnsi" w:eastAsia="Calibri" w:hAnsiTheme="majorHAnsi" w:cstheme="majorHAnsi"/>
          <w:lang w:val="en-US" w:eastAsia="en-US"/>
        </w:rPr>
        <w:t xml:space="preserve">Dynamic light scattering of NP dispersions using a </w:t>
      </w:r>
      <w:proofErr w:type="spellStart"/>
      <w:r w:rsidRPr="0048309C">
        <w:rPr>
          <w:rFonts w:asciiTheme="majorHAnsi" w:eastAsia="Calibri" w:hAnsiTheme="majorHAnsi" w:cstheme="majorHAnsi"/>
          <w:lang w:val="en-US" w:eastAsia="en-US"/>
        </w:rPr>
        <w:t>zetasizer</w:t>
      </w:r>
      <w:proofErr w:type="spellEnd"/>
      <w:r w:rsidRPr="0048309C">
        <w:rPr>
          <w:rFonts w:asciiTheme="majorHAnsi" w:eastAsia="Calibri" w:hAnsiTheme="majorHAnsi" w:cstheme="majorHAnsi"/>
          <w:lang w:val="en-US" w:eastAsia="en-US"/>
        </w:rPr>
        <w:t xml:space="preserve"> is sized at 170 nm. </w:t>
      </w:r>
    </w:p>
    <w:p w14:paraId="3A5311D3" w14:textId="6E1F97F5" w:rsidR="00ED4C5D" w:rsidRDefault="00ED4C5D" w:rsidP="00C12862">
      <w:pPr>
        <w:spacing w:after="0" w:line="360" w:lineRule="auto"/>
        <w:contextualSpacing/>
        <w:jc w:val="both"/>
        <w:rPr>
          <w:rFonts w:asciiTheme="majorHAnsi" w:eastAsia="Calibri" w:hAnsiTheme="majorHAnsi" w:cstheme="majorHAnsi"/>
          <w:lang w:val="en-US" w:eastAsia="en-US"/>
        </w:rPr>
      </w:pPr>
      <w:r w:rsidRPr="0048309C">
        <w:rPr>
          <w:rFonts w:asciiTheme="majorHAnsi" w:eastAsia="Calibri" w:hAnsiTheme="majorHAnsi" w:cstheme="majorHAnsi"/>
          <w:lang w:val="en-US" w:eastAsia="en-US"/>
        </w:rPr>
        <w:t xml:space="preserve">(B) Cryo-TEM image of </w:t>
      </w:r>
      <w:r>
        <w:rPr>
          <w:rFonts w:asciiTheme="majorHAnsi" w:eastAsia="Calibri" w:hAnsiTheme="majorHAnsi" w:cstheme="majorHAnsi"/>
          <w:lang w:val="en-US" w:eastAsia="en-US"/>
        </w:rPr>
        <w:t>NP dispersions</w:t>
      </w:r>
      <w:r w:rsidRPr="0048309C">
        <w:rPr>
          <w:rFonts w:asciiTheme="majorHAnsi" w:eastAsia="Calibri" w:hAnsiTheme="majorHAnsi" w:cstheme="majorHAnsi"/>
          <w:lang w:val="en-US" w:eastAsia="en-US"/>
        </w:rPr>
        <w:t xml:space="preserve"> </w:t>
      </w:r>
      <w:r>
        <w:rPr>
          <w:rFonts w:asciiTheme="majorHAnsi" w:eastAsia="Calibri" w:hAnsiTheme="majorHAnsi" w:cstheme="majorHAnsi"/>
          <w:lang w:val="en-US" w:eastAsia="en-US"/>
        </w:rPr>
        <w:t>prepared</w:t>
      </w:r>
      <w:r w:rsidRPr="0048309C">
        <w:rPr>
          <w:rFonts w:asciiTheme="majorHAnsi" w:eastAsia="Calibri" w:hAnsiTheme="majorHAnsi" w:cstheme="majorHAnsi"/>
          <w:lang w:val="en-US" w:eastAsia="en-US"/>
        </w:rPr>
        <w:t xml:space="preserve"> from 40% w/w OEA, 60% w/w LEA stabili</w:t>
      </w:r>
      <w:r>
        <w:rPr>
          <w:rFonts w:asciiTheme="majorHAnsi" w:eastAsia="Calibri" w:hAnsiTheme="majorHAnsi" w:cstheme="majorHAnsi"/>
          <w:lang w:val="en-US" w:eastAsia="en-US"/>
        </w:rPr>
        <w:t>z</w:t>
      </w:r>
      <w:r w:rsidRPr="0048309C">
        <w:rPr>
          <w:rFonts w:asciiTheme="majorHAnsi" w:eastAsia="Calibri" w:hAnsiTheme="majorHAnsi" w:cstheme="majorHAnsi"/>
          <w:lang w:val="en-US" w:eastAsia="en-US"/>
        </w:rPr>
        <w:t xml:space="preserve">ed with 15% </w:t>
      </w:r>
      <w:r w:rsidRPr="00ED4C5D">
        <w:rPr>
          <w:rFonts w:asciiTheme="majorHAnsi" w:eastAsia="Calibri" w:hAnsiTheme="majorHAnsi" w:cstheme="majorHAnsi"/>
          <w:lang w:val="en-US" w:eastAsia="en-US"/>
        </w:rPr>
        <w:t>PEG2000-OH showing the production of sponge-like NP</w:t>
      </w:r>
      <w:r>
        <w:rPr>
          <w:rFonts w:asciiTheme="majorHAnsi" w:eastAsia="Calibri" w:hAnsiTheme="majorHAnsi" w:cstheme="majorHAnsi"/>
          <w:lang w:val="en-US" w:eastAsia="en-US"/>
        </w:rPr>
        <w:t>s</w:t>
      </w:r>
      <w:r w:rsidRPr="00ED4C5D">
        <w:rPr>
          <w:rFonts w:asciiTheme="majorHAnsi" w:eastAsia="Calibri" w:hAnsiTheme="majorHAnsi" w:cstheme="majorHAnsi"/>
          <w:lang w:val="en-US" w:eastAsia="en-US"/>
        </w:rPr>
        <w:t xml:space="preserve"> </w:t>
      </w:r>
      <w:proofErr w:type="gramStart"/>
      <w:r w:rsidRPr="00ED4C5D">
        <w:rPr>
          <w:rFonts w:asciiTheme="majorHAnsi" w:eastAsia="Calibri" w:hAnsiTheme="majorHAnsi" w:cstheme="majorHAnsi"/>
          <w:lang w:val="en-US" w:eastAsia="en-US"/>
        </w:rPr>
        <w:t xml:space="preserve">–  </w:t>
      </w:r>
      <w:proofErr w:type="spellStart"/>
      <w:r w:rsidRPr="00ED4C5D">
        <w:rPr>
          <w:rFonts w:asciiTheme="majorHAnsi" w:eastAsia="Calibri" w:hAnsiTheme="majorHAnsi" w:cstheme="majorHAnsi"/>
          <w:lang w:val="en-US" w:eastAsia="en-US"/>
        </w:rPr>
        <w:t>spongosomes</w:t>
      </w:r>
      <w:proofErr w:type="spellEnd"/>
      <w:proofErr w:type="gramEnd"/>
      <w:r w:rsidRPr="00C12862">
        <w:rPr>
          <w:rFonts w:asciiTheme="majorHAnsi" w:eastAsia="Calibri" w:hAnsiTheme="majorHAnsi" w:cstheme="majorHAnsi"/>
          <w:lang w:val="en-US" w:eastAsia="en-US"/>
        </w:rPr>
        <w:t xml:space="preserve">. </w:t>
      </w:r>
    </w:p>
    <w:p w14:paraId="2350B5D0" w14:textId="6AAC7677" w:rsidR="00ED4C5D" w:rsidRDefault="00FC402F" w:rsidP="00ED4C5D">
      <w:pPr>
        <w:spacing w:after="0" w:line="360" w:lineRule="auto"/>
        <w:contextualSpacing/>
        <w:jc w:val="both"/>
        <w:rPr>
          <w:rFonts w:asciiTheme="majorHAnsi" w:eastAsiaTheme="minorEastAsia" w:hAnsiTheme="majorHAnsi" w:cstheme="majorHAnsi"/>
          <w:lang w:val="en-US" w:eastAsia="en-US"/>
        </w:rPr>
      </w:pPr>
      <w:r w:rsidRPr="0048309C">
        <w:rPr>
          <w:rFonts w:asciiTheme="majorHAnsi" w:eastAsia="Calibri" w:hAnsiTheme="majorHAnsi" w:cstheme="majorHAnsi"/>
          <w:lang w:val="en-US" w:eastAsia="en-US"/>
        </w:rPr>
        <w:t xml:space="preserve">(C) </w:t>
      </w:r>
      <w:r w:rsidR="00ED4C5D" w:rsidRPr="00ED4C5D">
        <w:rPr>
          <w:rFonts w:asciiTheme="majorHAnsi" w:eastAsia="Calibri" w:hAnsiTheme="majorHAnsi" w:cstheme="majorHAnsi"/>
          <w:lang w:val="en-US" w:eastAsia="en-US"/>
        </w:rPr>
        <w:t>1D SAXS patterns of NP dispersions with and without HAP-1 targeting.</w:t>
      </w:r>
      <w:r w:rsidR="00ED4C5D">
        <w:rPr>
          <w:rFonts w:asciiTheme="majorHAnsi" w:eastAsia="Calibri" w:hAnsiTheme="majorHAnsi" w:cstheme="majorHAnsi"/>
          <w:lang w:val="en-US" w:eastAsia="en-US"/>
        </w:rPr>
        <w:t xml:space="preserve"> </w:t>
      </w:r>
      <w:r w:rsidR="00ED4C5D" w:rsidRPr="00ED4C5D">
        <w:rPr>
          <w:rFonts w:asciiTheme="majorHAnsi" w:eastAsia="Calibri" w:hAnsiTheme="majorHAnsi" w:cstheme="majorHAnsi"/>
          <w:lang w:val="en-US" w:eastAsia="en-US"/>
        </w:rPr>
        <w:t xml:space="preserve"> Assessment of the NP structure by SAXS supports the formation of sponge-like NP at 40% (w/w) OEA, 60% (w/w) LEA stabilized with 15% PEG2000-OH. Both dispersions showed colloidal particles with less ordered internal nanostructures, in contrast with the bulk lyotropic phase behavior described in Fig. 1D. The lack of highly ordered internal nanostructure is likely due to the addition of PEG lipids at 15wt %. Less PEG-lipid led to NPs with less stability over time.</w:t>
      </w:r>
      <w:r w:rsidR="00ED4C5D" w:rsidRPr="00ED4C5D">
        <w:rPr>
          <w:rFonts w:eastAsia="Calibri"/>
          <w:lang w:val="en-US" w:eastAsia="en-US"/>
        </w:rPr>
        <w:t xml:space="preserve">  </w:t>
      </w:r>
      <w:r w:rsidR="00ED4C5D" w:rsidRPr="00ED4C5D">
        <w:rPr>
          <w:rFonts w:asciiTheme="majorHAnsi" w:hAnsiTheme="majorHAnsi" w:cstheme="majorHAnsi"/>
        </w:rPr>
        <w:t xml:space="preserve">As shown in Fig 1D, </w:t>
      </w:r>
      <w:r w:rsidR="00ED4C5D" w:rsidRPr="00ED4C5D">
        <w:rPr>
          <w:rFonts w:asciiTheme="majorHAnsi" w:eastAsiaTheme="minorEastAsia" w:hAnsiTheme="majorHAnsi" w:cstheme="majorHAnsi"/>
          <w:lang w:eastAsia="en-US"/>
        </w:rPr>
        <w:t>the lyotropic mesophases were equilibrated for 48 hours and analysed with a laboratory SAXS instrument equipped with a Peltier temperature control chamber at 25°C (ii)</w:t>
      </w:r>
      <w:r w:rsidR="00ED4C5D" w:rsidRPr="00ED4C5D">
        <w:rPr>
          <w:rFonts w:asciiTheme="majorHAnsi" w:eastAsiaTheme="minorEastAsia" w:hAnsiTheme="majorHAnsi" w:cstheme="majorHAnsi"/>
          <w:b/>
          <w:lang w:eastAsia="en-US"/>
        </w:rPr>
        <w:t xml:space="preserve"> </w:t>
      </w:r>
      <w:r w:rsidR="00ED4C5D" w:rsidRPr="00ED4C5D">
        <w:rPr>
          <w:rFonts w:asciiTheme="majorHAnsi" w:eastAsiaTheme="minorEastAsia" w:hAnsiTheme="majorHAnsi" w:cstheme="majorHAnsi"/>
          <w:lang w:eastAsia="en-US"/>
        </w:rPr>
        <w:t>and 37°C (iii). Lyotropic mesophases of 60% LEA at various temperatures, showing cubic mesophase of a Pn3m space group is shown in (iv).   In Figure 1D (</w:t>
      </w:r>
      <w:proofErr w:type="spellStart"/>
      <w:r w:rsidR="00ED4C5D" w:rsidRPr="00ED4C5D">
        <w:rPr>
          <w:rFonts w:asciiTheme="majorHAnsi" w:eastAsiaTheme="minorEastAsia" w:hAnsiTheme="majorHAnsi" w:cstheme="majorHAnsi"/>
          <w:lang w:eastAsia="en-US"/>
        </w:rPr>
        <w:t>i</w:t>
      </w:r>
      <w:proofErr w:type="spellEnd"/>
      <w:r w:rsidR="00ED4C5D" w:rsidRPr="00ED4C5D">
        <w:rPr>
          <w:rFonts w:asciiTheme="majorHAnsi" w:eastAsiaTheme="minorEastAsia" w:hAnsiTheme="majorHAnsi" w:cstheme="majorHAnsi"/>
          <w:lang w:eastAsia="en-US"/>
        </w:rPr>
        <w:t xml:space="preserve">) </w:t>
      </w:r>
      <w:r w:rsidR="00ED4C5D" w:rsidRPr="00ED4C5D">
        <w:rPr>
          <w:rFonts w:asciiTheme="majorHAnsi" w:eastAsiaTheme="minorEastAsia" w:hAnsiTheme="majorHAnsi" w:cstheme="majorHAnsi"/>
          <w:lang w:val="en-US" w:eastAsia="en-US"/>
        </w:rPr>
        <w:t>all the amphiphilic mixes examined showed a relatively sharp peak in addition to a broad peak. 100% LEA sharp peak at ~0.132 Å</w:t>
      </w:r>
      <w:r w:rsidR="00ED4C5D" w:rsidRPr="00ED4C5D">
        <w:rPr>
          <w:rFonts w:asciiTheme="majorHAnsi" w:eastAsiaTheme="minorEastAsia" w:hAnsiTheme="majorHAnsi" w:cstheme="majorHAnsi"/>
          <w:vertAlign w:val="superscript"/>
          <w:lang w:val="en-US" w:eastAsia="en-US"/>
        </w:rPr>
        <w:t xml:space="preserve">-1 </w:t>
      </w:r>
      <w:r w:rsidR="00ED4C5D" w:rsidRPr="00ED4C5D">
        <w:rPr>
          <w:rFonts w:asciiTheme="majorHAnsi" w:eastAsiaTheme="minorEastAsia" w:hAnsiTheme="majorHAnsi" w:cstheme="majorHAnsi"/>
          <w:lang w:val="en-US" w:eastAsia="en-US"/>
        </w:rPr>
        <w:t xml:space="preserve">is indicative of an ordered lamellar mesophase.  As the percentage of OEA is increased, there is a shift in sharp peak to lower q values indicating a slight increase in the lattice parameter.  Representative lyotropic mesophase of the hydrated mixed samples at 70wt% water (excess water) at </w:t>
      </w:r>
      <w:r w:rsidR="00ED4C5D" w:rsidRPr="00ED4C5D">
        <w:rPr>
          <w:rFonts w:asciiTheme="majorHAnsi" w:eastAsiaTheme="minorEastAsia" w:hAnsiTheme="majorHAnsi" w:cstheme="majorHAnsi"/>
          <w:lang w:eastAsia="en-US"/>
        </w:rPr>
        <w:t xml:space="preserve">25°C </w:t>
      </w:r>
      <w:r w:rsidR="00ED4C5D" w:rsidRPr="00ED4C5D">
        <w:rPr>
          <w:rFonts w:asciiTheme="majorHAnsi" w:eastAsiaTheme="minorEastAsia" w:hAnsiTheme="majorHAnsi" w:cstheme="majorHAnsi"/>
          <w:lang w:val="en-US" w:eastAsia="en-US"/>
        </w:rPr>
        <w:t>are shown in (ii). The scattering pattern of various amphiphiles mixes ranging from 100% LEA to 50% LEA showed the formation of varying ordered nanostructures.</w:t>
      </w:r>
      <w:r w:rsidR="00ED4C5D" w:rsidRPr="00ED4C5D">
        <w:rPr>
          <w:rFonts w:asciiTheme="majorHAnsi" w:eastAsiaTheme="minorEastAsia" w:hAnsiTheme="majorHAnsi" w:cstheme="majorHAnsi"/>
          <w:lang w:eastAsia="en-US"/>
        </w:rPr>
        <w:t xml:space="preserve"> </w:t>
      </w:r>
      <w:r w:rsidR="00ED4C5D" w:rsidRPr="00ED4C5D">
        <w:rPr>
          <w:rFonts w:asciiTheme="majorHAnsi" w:eastAsiaTheme="minorEastAsia" w:hAnsiTheme="majorHAnsi" w:cstheme="majorHAnsi"/>
          <w:lang w:val="en-US" w:eastAsia="en-US"/>
        </w:rPr>
        <w:t>The shift to lower q value from those observed in the neat amphiphile is indicative of a swollen L</w:t>
      </w:r>
      <w:r w:rsidR="00ED4C5D" w:rsidRPr="00ED4C5D">
        <w:rPr>
          <w:rFonts w:asciiTheme="majorHAnsi" w:eastAsiaTheme="minorEastAsia" w:hAnsiTheme="majorHAnsi" w:cstheme="majorHAnsi"/>
          <w:vertAlign w:val="subscript"/>
          <w:lang w:val="en-US" w:eastAsia="en-US"/>
        </w:rPr>
        <w:t>2</w:t>
      </w:r>
      <w:r w:rsidR="00ED4C5D" w:rsidRPr="00ED4C5D">
        <w:rPr>
          <w:rFonts w:asciiTheme="majorHAnsi" w:eastAsiaTheme="minorEastAsia" w:hAnsiTheme="majorHAnsi" w:cstheme="majorHAnsi"/>
          <w:lang w:val="en-US" w:eastAsia="en-US"/>
        </w:rPr>
        <w:t xml:space="preserve"> mesophase with a weakly ordered nanostructure. As LEA ratio is increased, the molten mesophase changed slightly and a sharp peak appeared at 0.147 Å</w:t>
      </w:r>
      <w:r w:rsidR="00ED4C5D" w:rsidRPr="00ED4C5D">
        <w:rPr>
          <w:rFonts w:asciiTheme="majorHAnsi" w:eastAsiaTheme="minorEastAsia" w:hAnsiTheme="majorHAnsi" w:cstheme="majorHAnsi"/>
          <w:vertAlign w:val="superscript"/>
          <w:lang w:val="en-US" w:eastAsia="en-US"/>
        </w:rPr>
        <w:t>-1</w:t>
      </w:r>
      <w:r w:rsidR="00ED4C5D" w:rsidRPr="00ED4C5D">
        <w:rPr>
          <w:rFonts w:asciiTheme="majorHAnsi" w:eastAsiaTheme="minorEastAsia" w:hAnsiTheme="majorHAnsi" w:cstheme="majorHAnsi"/>
          <w:vertAlign w:val="subscript"/>
          <w:lang w:val="en-US" w:eastAsia="en-US"/>
        </w:rPr>
        <w:t xml:space="preserve">.  </w:t>
      </w:r>
      <w:r w:rsidR="00ED4C5D" w:rsidRPr="00ED4C5D">
        <w:rPr>
          <w:rFonts w:asciiTheme="majorHAnsi" w:eastAsiaTheme="minorEastAsia" w:hAnsiTheme="majorHAnsi" w:cstheme="majorHAnsi"/>
          <w:lang w:val="en-US" w:eastAsia="en-US"/>
        </w:rPr>
        <w:t xml:space="preserve"> At 70% LEA a mixed cubic mesophase, along with a crystalline lamellar peak at q=0.143 Å</w:t>
      </w:r>
      <w:r w:rsidR="00ED4C5D" w:rsidRPr="00ED4C5D">
        <w:rPr>
          <w:rFonts w:asciiTheme="majorHAnsi" w:eastAsiaTheme="minorEastAsia" w:hAnsiTheme="majorHAnsi" w:cstheme="majorHAnsi"/>
          <w:vertAlign w:val="superscript"/>
          <w:lang w:val="en-US" w:eastAsia="en-US"/>
        </w:rPr>
        <w:t>-1</w:t>
      </w:r>
      <w:r w:rsidR="00ED4C5D" w:rsidRPr="00ED4C5D">
        <w:rPr>
          <w:rFonts w:asciiTheme="majorHAnsi" w:eastAsiaTheme="minorEastAsia" w:hAnsiTheme="majorHAnsi" w:cstheme="majorHAnsi"/>
          <w:lang w:val="en-US" w:eastAsia="en-US"/>
        </w:rPr>
        <w:t xml:space="preserve"> was observed.  At 60% LEA, the cubic mesophase became more dominant however transformed to a mixed cubic and lamellar mesophase at 50% LEA.</w:t>
      </w:r>
    </w:p>
    <w:p w14:paraId="6BAC0566" w14:textId="5986375C" w:rsidR="00C12862" w:rsidRDefault="00C12862" w:rsidP="00C76E45">
      <w:pPr>
        <w:spacing w:after="120" w:line="360" w:lineRule="auto"/>
        <w:jc w:val="both"/>
        <w:rPr>
          <w:rFonts w:asciiTheme="majorHAnsi" w:eastAsiaTheme="minorEastAsia" w:hAnsiTheme="majorHAnsi" w:cstheme="majorHAnsi"/>
          <w:lang w:val="en-US" w:eastAsia="en-US"/>
        </w:rPr>
      </w:pPr>
      <w:r w:rsidRPr="00C12862">
        <w:rPr>
          <w:rFonts w:asciiTheme="majorHAnsi" w:eastAsiaTheme="minorEastAsia" w:hAnsiTheme="majorHAnsi" w:cstheme="majorHAnsi"/>
          <w:lang w:val="en-US" w:eastAsia="en-US"/>
        </w:rPr>
        <w:t>The lyotropic mesophases of the hydrated mixes was also assessed at 37°C (iii). Raising the temperature of the above hydrated samples to physiological temperature resulted in more molten L</w:t>
      </w:r>
      <w:r w:rsidRPr="00C12862">
        <w:rPr>
          <w:rFonts w:asciiTheme="majorHAnsi" w:eastAsiaTheme="minorEastAsia" w:hAnsiTheme="majorHAnsi" w:cstheme="majorHAnsi"/>
          <w:vertAlign w:val="subscript"/>
          <w:lang w:val="en-US" w:eastAsia="en-US"/>
        </w:rPr>
        <w:t>2</w:t>
      </w:r>
      <w:r w:rsidRPr="00C12862">
        <w:rPr>
          <w:rFonts w:asciiTheme="majorHAnsi" w:eastAsiaTheme="minorEastAsia" w:hAnsiTheme="majorHAnsi" w:cstheme="majorHAnsi"/>
          <w:lang w:val="en-US" w:eastAsia="en-US"/>
        </w:rPr>
        <w:t xml:space="preserve"> mesophase for mixes containing 90-70% LEA. However, at 60% LEA, a mono cubic mesophase with the Pn3m symmetry was developed. At 50% LEA, there is a shift from sole cubic mesophases (as seen in 60% LEA), with both </w:t>
      </w:r>
      <w:r w:rsidRPr="00C12862">
        <w:rPr>
          <w:rFonts w:asciiTheme="majorHAnsi" w:eastAsiaTheme="minorEastAsia" w:hAnsiTheme="majorHAnsi" w:cstheme="majorHAnsi"/>
          <w:lang w:val="en-US" w:eastAsia="en-US"/>
        </w:rPr>
        <w:lastRenderedPageBreak/>
        <w:t>cubic mesophase mixed with a lamellar liquid crystalline mesophase observed. From this study, we found that among all the various ratios investigated here, 60% LEA mixed amphiphile showed a sole cubic mesophase of Pn3m symmetry, which was stable up to physiological temperature.  Figure 1D (iv) shows the shift in lattice parameter of 60% LEA mix. The lattice parameter of this mesophase decreased as the temperature increased, by shifting the scattering peaks towards higher q values.</w:t>
      </w:r>
      <w:r w:rsidRPr="008C615F">
        <w:rPr>
          <w:rFonts w:asciiTheme="majorHAnsi" w:eastAsiaTheme="minorEastAsia" w:hAnsiTheme="majorHAnsi" w:cstheme="majorHAnsi"/>
          <w:lang w:val="en-US" w:eastAsia="en-US"/>
        </w:rPr>
        <w:t xml:space="preserve"> </w:t>
      </w:r>
    </w:p>
    <w:p w14:paraId="0D06B32B" w14:textId="77777777" w:rsidR="00C76E45" w:rsidRPr="00C76E45" w:rsidRDefault="00C76E45" w:rsidP="00C76E45">
      <w:pPr>
        <w:spacing w:after="120" w:line="360" w:lineRule="auto"/>
        <w:jc w:val="both"/>
        <w:rPr>
          <w:rFonts w:asciiTheme="majorHAnsi" w:eastAsiaTheme="minorEastAsia" w:hAnsiTheme="majorHAnsi" w:cstheme="majorHAnsi"/>
          <w:lang w:val="en-US" w:eastAsia="en-US"/>
        </w:rPr>
      </w:pPr>
    </w:p>
    <w:p w14:paraId="4CFD31E2" w14:textId="5A856D06" w:rsidR="00883728" w:rsidRPr="00277651" w:rsidRDefault="00277651" w:rsidP="00883728">
      <w:pPr>
        <w:spacing w:after="0" w:line="360" w:lineRule="auto"/>
        <w:jc w:val="both"/>
        <w:rPr>
          <w:rFonts w:asciiTheme="majorHAnsi" w:eastAsia="Calibri" w:hAnsiTheme="majorHAnsi" w:cstheme="majorHAnsi"/>
          <w:b/>
          <w:bCs/>
          <w:lang w:eastAsia="en-US"/>
        </w:rPr>
      </w:pPr>
      <w:r>
        <w:rPr>
          <w:rFonts w:asciiTheme="majorHAnsi" w:eastAsia="Calibri" w:hAnsiTheme="majorHAnsi" w:cstheme="majorHAnsi"/>
          <w:b/>
          <w:bCs/>
          <w:lang w:eastAsia="en-US"/>
        </w:rPr>
        <w:t>F</w:t>
      </w:r>
      <w:r w:rsidRPr="00277651">
        <w:rPr>
          <w:rFonts w:asciiTheme="majorHAnsi" w:eastAsia="Calibri" w:hAnsiTheme="majorHAnsi" w:cstheme="majorHAnsi"/>
          <w:b/>
          <w:bCs/>
          <w:lang w:eastAsia="en-US"/>
        </w:rPr>
        <w:t>igure 3</w:t>
      </w:r>
    </w:p>
    <w:p w14:paraId="286F8F48" w14:textId="77777777" w:rsidR="00883728" w:rsidRPr="00FB1115" w:rsidRDefault="00883728" w:rsidP="00883728">
      <w:pPr>
        <w:spacing w:after="0" w:line="360" w:lineRule="auto"/>
        <w:jc w:val="both"/>
        <w:rPr>
          <w:rFonts w:asciiTheme="majorHAnsi" w:eastAsia="Calibri" w:hAnsiTheme="majorHAnsi" w:cstheme="majorHAnsi"/>
          <w:b/>
          <w:lang w:eastAsia="en-US"/>
        </w:rPr>
      </w:pPr>
      <w:r w:rsidRPr="00FB1115">
        <w:rPr>
          <w:rFonts w:asciiTheme="majorHAnsi" w:eastAsia="Calibri" w:hAnsiTheme="majorHAnsi" w:cstheme="majorHAnsi"/>
          <w:lang w:eastAsia="en-US"/>
        </w:rPr>
        <w:t>(A)</w:t>
      </w:r>
      <w:r w:rsidRPr="00FB1115">
        <w:rPr>
          <w:rFonts w:asciiTheme="majorHAnsi" w:eastAsia="Calibri" w:hAnsiTheme="majorHAnsi" w:cstheme="majorHAnsi"/>
          <w:b/>
          <w:lang w:eastAsia="en-US"/>
        </w:rPr>
        <w:t xml:space="preserve"> </w:t>
      </w:r>
      <w:r w:rsidRPr="00FB1115">
        <w:rPr>
          <w:rFonts w:asciiTheme="majorHAnsi" w:eastAsia="Calibri" w:hAnsiTheme="majorHAnsi" w:cstheme="majorHAnsi"/>
          <w:lang w:eastAsia="en-US"/>
        </w:rPr>
        <w:t xml:space="preserve">WST-1 results determining NP </w:t>
      </w:r>
      <w:r w:rsidRPr="00FB1115">
        <w:rPr>
          <w:rFonts w:asciiTheme="majorHAnsi" w:eastAsia="Calibri" w:hAnsiTheme="majorHAnsi" w:cstheme="majorHAnsi"/>
          <w:i/>
          <w:lang w:eastAsia="en-US"/>
        </w:rPr>
        <w:t>in vitro</w:t>
      </w:r>
      <w:r w:rsidRPr="00FB1115">
        <w:rPr>
          <w:rFonts w:asciiTheme="majorHAnsi" w:eastAsia="Calibri" w:hAnsiTheme="majorHAnsi" w:cstheme="majorHAnsi"/>
          <w:lang w:eastAsia="en-US"/>
        </w:rPr>
        <w:t xml:space="preserve"> cytotoxicity.</w:t>
      </w:r>
      <w:r w:rsidRPr="00FB1115">
        <w:rPr>
          <w:rFonts w:asciiTheme="majorHAnsi" w:eastAsia="Calibri" w:hAnsiTheme="majorHAnsi" w:cstheme="majorHAnsi"/>
          <w:b/>
          <w:lang w:eastAsia="en-US"/>
        </w:rPr>
        <w:t xml:space="preserve">  </w:t>
      </w:r>
      <w:r w:rsidRPr="00FB1115">
        <w:rPr>
          <w:rFonts w:asciiTheme="majorHAnsi" w:eastAsia="Calibri" w:hAnsiTheme="majorHAnsi" w:cstheme="majorHAnsi"/>
          <w:lang w:eastAsia="en-US"/>
        </w:rPr>
        <w:t xml:space="preserve">LC50 value is frequently used as a general indicator of a substance's acute toxicity. At 30 µg/ml, approximately 75% of cells were still viable and chosen as the standard concentration of NP to be used in all </w:t>
      </w:r>
      <w:r w:rsidRPr="00FB1115">
        <w:rPr>
          <w:rFonts w:asciiTheme="majorHAnsi" w:eastAsia="Calibri" w:hAnsiTheme="majorHAnsi" w:cstheme="majorHAnsi"/>
          <w:i/>
          <w:lang w:eastAsia="en-US"/>
        </w:rPr>
        <w:t xml:space="preserve">in vitro </w:t>
      </w:r>
      <w:r w:rsidRPr="00FB1115">
        <w:rPr>
          <w:rFonts w:asciiTheme="majorHAnsi" w:eastAsia="Calibri" w:hAnsiTheme="majorHAnsi" w:cstheme="majorHAnsi"/>
          <w:lang w:eastAsia="en-US"/>
        </w:rPr>
        <w:t>experiments.</w:t>
      </w:r>
    </w:p>
    <w:p w14:paraId="5AD89160" w14:textId="77777777" w:rsidR="00883728" w:rsidRPr="00FB1115" w:rsidRDefault="00883728" w:rsidP="00883728">
      <w:pPr>
        <w:spacing w:after="0" w:line="360" w:lineRule="auto"/>
        <w:jc w:val="both"/>
        <w:rPr>
          <w:rFonts w:asciiTheme="majorHAnsi" w:eastAsia="Calibri" w:hAnsiTheme="majorHAnsi" w:cstheme="majorHAnsi"/>
          <w:lang w:eastAsia="en-US"/>
        </w:rPr>
      </w:pPr>
      <w:r w:rsidRPr="00FB1115">
        <w:rPr>
          <w:rFonts w:asciiTheme="majorHAnsi" w:eastAsia="Calibri" w:hAnsiTheme="majorHAnsi" w:cstheme="majorHAnsi"/>
          <w:lang w:eastAsia="en-US"/>
        </w:rPr>
        <w:t xml:space="preserve"> (B)</w:t>
      </w:r>
      <w:r w:rsidRPr="00FB1115">
        <w:rPr>
          <w:rFonts w:asciiTheme="majorHAnsi" w:eastAsia="Calibri" w:hAnsiTheme="majorHAnsi" w:cstheme="majorHAnsi"/>
          <w:b/>
          <w:lang w:eastAsia="en-US"/>
        </w:rPr>
        <w:t xml:space="preserve"> </w:t>
      </w:r>
      <w:r w:rsidRPr="00FB1115">
        <w:rPr>
          <w:rFonts w:asciiTheme="majorHAnsi" w:eastAsia="Calibri" w:hAnsiTheme="majorHAnsi" w:cstheme="majorHAnsi"/>
          <w:lang w:eastAsia="en-US"/>
        </w:rPr>
        <w:t>Confocal fluorescent microscopy images of HAP-1-binding to HIG-82 cells. Cells were incubated with media, HAP-1-biotin, or sHAP-1-biotin at 37˚C followed by streptavidin-FITC. Actin was labelled with TRITC-phalloidin shown as red (a), HAP-</w:t>
      </w:r>
      <w:r>
        <w:rPr>
          <w:rFonts w:asciiTheme="majorHAnsi" w:eastAsia="Calibri" w:hAnsiTheme="majorHAnsi" w:cstheme="majorHAnsi"/>
          <w:lang w:eastAsia="en-US"/>
        </w:rPr>
        <w:t>1-</w:t>
      </w:r>
      <w:r w:rsidRPr="00FB1115">
        <w:rPr>
          <w:rFonts w:asciiTheme="majorHAnsi" w:eastAsia="Calibri" w:hAnsiTheme="majorHAnsi" w:cstheme="majorHAnsi"/>
          <w:lang w:eastAsia="en-US"/>
        </w:rPr>
        <w:t xml:space="preserve">biotin labelled with streptavidin-FITC (green, b), and nuclei labelled with DAPI (blue, c). Panel (d) shows HIG cell with actin and cytoplasmic HAP-1. Scale bars represent 100 µm. </w:t>
      </w:r>
    </w:p>
    <w:p w14:paraId="414DF002" w14:textId="43CDA158" w:rsidR="00883728" w:rsidRDefault="00883728" w:rsidP="00883728">
      <w:pPr>
        <w:spacing w:after="0" w:line="360" w:lineRule="auto"/>
        <w:jc w:val="both"/>
        <w:rPr>
          <w:rFonts w:asciiTheme="majorHAnsi" w:eastAsia="Calibri" w:hAnsiTheme="majorHAnsi" w:cstheme="majorHAnsi"/>
          <w:b/>
          <w:lang w:eastAsia="en-US"/>
        </w:rPr>
      </w:pPr>
      <w:r w:rsidRPr="00FB1115">
        <w:rPr>
          <w:rFonts w:asciiTheme="majorHAnsi" w:eastAsia="Calibri" w:hAnsiTheme="majorHAnsi" w:cstheme="majorHAnsi"/>
          <w:lang w:eastAsia="en-US"/>
        </w:rPr>
        <w:t xml:space="preserve">(C) Flow cytometry histograms illustrating cell fluorescence as an indicator of NP dye stability following incubation with </w:t>
      </w:r>
      <w:proofErr w:type="spellStart"/>
      <w:r w:rsidRPr="00FB1115">
        <w:rPr>
          <w:rFonts w:asciiTheme="majorHAnsi" w:eastAsia="Calibri" w:hAnsiTheme="majorHAnsi" w:cstheme="majorHAnsi"/>
          <w:lang w:eastAsia="en-US"/>
        </w:rPr>
        <w:t>NP</w:t>
      </w:r>
      <w:r w:rsidRPr="00FB1115">
        <w:rPr>
          <w:rFonts w:asciiTheme="majorHAnsi" w:eastAsia="Calibri" w:hAnsiTheme="majorHAnsi" w:cstheme="majorHAnsi"/>
          <w:vertAlign w:val="subscript"/>
          <w:lang w:eastAsia="en-US"/>
        </w:rPr>
        <w:t>non</w:t>
      </w:r>
      <w:proofErr w:type="spellEnd"/>
      <w:r w:rsidRPr="00FB1115">
        <w:rPr>
          <w:rFonts w:asciiTheme="majorHAnsi" w:eastAsia="Calibri" w:hAnsiTheme="majorHAnsi" w:cstheme="majorHAnsi"/>
          <w:vertAlign w:val="subscript"/>
          <w:lang w:eastAsia="en-US"/>
        </w:rPr>
        <w:t>-targeted</w:t>
      </w:r>
      <w:r w:rsidRPr="00FB1115">
        <w:rPr>
          <w:rFonts w:asciiTheme="majorHAnsi" w:eastAsia="Calibri" w:hAnsiTheme="majorHAnsi" w:cstheme="majorHAnsi"/>
          <w:lang w:eastAsia="en-US"/>
        </w:rPr>
        <w:t xml:space="preserve"> and NP</w:t>
      </w:r>
      <w:r w:rsidRPr="00FB1115">
        <w:rPr>
          <w:rFonts w:asciiTheme="majorHAnsi" w:eastAsia="Calibri" w:hAnsiTheme="majorHAnsi" w:cstheme="majorHAnsi"/>
          <w:vertAlign w:val="subscript"/>
          <w:lang w:eastAsia="en-US"/>
        </w:rPr>
        <w:t>HAP</w:t>
      </w:r>
      <w:r>
        <w:rPr>
          <w:rFonts w:asciiTheme="majorHAnsi" w:eastAsia="Calibri" w:hAnsiTheme="majorHAnsi" w:cstheme="majorHAnsi"/>
          <w:vertAlign w:val="subscript"/>
          <w:lang w:eastAsia="en-US"/>
        </w:rPr>
        <w:t>-1</w:t>
      </w:r>
      <w:r w:rsidRPr="00FB1115">
        <w:rPr>
          <w:rFonts w:asciiTheme="majorHAnsi" w:eastAsia="Calibri" w:hAnsiTheme="majorHAnsi" w:cstheme="majorHAnsi"/>
          <w:lang w:eastAsia="en-US"/>
        </w:rPr>
        <w:t xml:space="preserve"> at 4°C and 37°C. Autofluorescence (red), incubation at 4°C (green), and incubation at 37°C (blue). The absence of cell fluorescence at 4°C indicates successful retention of dye within the NP. Experiments were repeated three times.  The shown histogram is a representative example</w:t>
      </w:r>
      <w:r w:rsidRPr="00FB1115">
        <w:rPr>
          <w:rFonts w:asciiTheme="majorHAnsi" w:eastAsia="Calibri" w:hAnsiTheme="majorHAnsi" w:cstheme="majorHAnsi"/>
          <w:b/>
          <w:lang w:eastAsia="en-US"/>
        </w:rPr>
        <w:t xml:space="preserve">. </w:t>
      </w:r>
    </w:p>
    <w:p w14:paraId="42B395A5" w14:textId="77777777" w:rsidR="00883728" w:rsidRPr="00FB1115" w:rsidRDefault="00883728" w:rsidP="00883728">
      <w:pPr>
        <w:spacing w:after="0" w:line="360" w:lineRule="auto"/>
        <w:jc w:val="both"/>
        <w:rPr>
          <w:rFonts w:asciiTheme="majorHAnsi" w:eastAsia="Calibri" w:hAnsiTheme="majorHAnsi" w:cstheme="majorHAnsi"/>
          <w:lang w:eastAsia="en-US"/>
        </w:rPr>
      </w:pPr>
    </w:p>
    <w:p w14:paraId="170F5CC2" w14:textId="7600EF90" w:rsidR="00883728" w:rsidRPr="00277651" w:rsidRDefault="00277651" w:rsidP="00883728">
      <w:pPr>
        <w:spacing w:after="0" w:line="360" w:lineRule="auto"/>
        <w:jc w:val="both"/>
        <w:rPr>
          <w:rFonts w:asciiTheme="majorHAnsi" w:eastAsia="Calibri" w:hAnsiTheme="majorHAnsi" w:cstheme="majorHAnsi"/>
          <w:b/>
          <w:bCs/>
          <w:lang w:eastAsia="en-US"/>
        </w:rPr>
      </w:pPr>
      <w:r>
        <w:rPr>
          <w:rFonts w:asciiTheme="majorHAnsi" w:eastAsia="Calibri" w:hAnsiTheme="majorHAnsi" w:cstheme="majorHAnsi"/>
          <w:b/>
          <w:bCs/>
          <w:lang w:eastAsia="en-US"/>
        </w:rPr>
        <w:t>F</w:t>
      </w:r>
      <w:r w:rsidRPr="00277651">
        <w:rPr>
          <w:rFonts w:asciiTheme="majorHAnsi" w:eastAsia="Calibri" w:hAnsiTheme="majorHAnsi" w:cstheme="majorHAnsi"/>
          <w:b/>
          <w:bCs/>
          <w:lang w:eastAsia="en-US"/>
        </w:rPr>
        <w:t>igure 4</w:t>
      </w:r>
    </w:p>
    <w:p w14:paraId="43663A0B" w14:textId="7D3B3E2F" w:rsidR="00883728" w:rsidRPr="00FB1115" w:rsidRDefault="00883728" w:rsidP="00883728">
      <w:pPr>
        <w:spacing w:after="0" w:line="360" w:lineRule="auto"/>
        <w:jc w:val="both"/>
        <w:rPr>
          <w:rFonts w:asciiTheme="majorHAnsi" w:eastAsiaTheme="minorEastAsia" w:hAnsiTheme="majorHAnsi" w:cstheme="majorHAnsi"/>
          <w:lang w:eastAsia="en-US"/>
        </w:rPr>
      </w:pPr>
      <w:r w:rsidRPr="00FB1115">
        <w:rPr>
          <w:rFonts w:asciiTheme="majorHAnsi" w:eastAsiaTheme="minorEastAsia" w:hAnsiTheme="majorHAnsi" w:cstheme="majorHAnsi"/>
          <w:lang w:eastAsia="en-US"/>
        </w:rPr>
        <w:t xml:space="preserve">Pharmacokinetic profiles for (A) </w:t>
      </w:r>
      <w:proofErr w:type="spellStart"/>
      <w:r w:rsidRPr="00FB1115">
        <w:rPr>
          <w:rFonts w:asciiTheme="majorHAnsi" w:eastAsiaTheme="minorEastAsia" w:hAnsiTheme="majorHAnsi" w:cstheme="majorHAnsi"/>
          <w:lang w:eastAsia="en-US"/>
        </w:rPr>
        <w:t>NP</w:t>
      </w:r>
      <w:r w:rsidRPr="00FB1115">
        <w:rPr>
          <w:rFonts w:asciiTheme="majorHAnsi" w:eastAsiaTheme="minorEastAsia" w:hAnsiTheme="majorHAnsi" w:cstheme="majorHAnsi"/>
          <w:vertAlign w:val="subscript"/>
          <w:lang w:eastAsia="en-US"/>
        </w:rPr>
        <w:t>non</w:t>
      </w:r>
      <w:proofErr w:type="spellEnd"/>
      <w:r w:rsidRPr="00FB1115">
        <w:rPr>
          <w:rFonts w:asciiTheme="majorHAnsi" w:eastAsiaTheme="minorEastAsia" w:hAnsiTheme="majorHAnsi" w:cstheme="majorHAnsi"/>
          <w:vertAlign w:val="subscript"/>
          <w:lang w:eastAsia="en-US"/>
        </w:rPr>
        <w:t xml:space="preserve">-targeted </w:t>
      </w:r>
      <w:r w:rsidRPr="00FB1115">
        <w:rPr>
          <w:rFonts w:asciiTheme="majorHAnsi" w:eastAsiaTheme="minorEastAsia" w:hAnsiTheme="majorHAnsi" w:cstheme="majorHAnsi"/>
          <w:lang w:eastAsia="en-US"/>
        </w:rPr>
        <w:t>and (B) NP</w:t>
      </w:r>
      <w:r w:rsidRPr="00FB1115">
        <w:rPr>
          <w:rFonts w:asciiTheme="majorHAnsi" w:eastAsiaTheme="minorEastAsia" w:hAnsiTheme="majorHAnsi" w:cstheme="majorHAnsi"/>
          <w:vertAlign w:val="subscript"/>
          <w:lang w:eastAsia="en-US"/>
        </w:rPr>
        <w:t>HAP</w:t>
      </w:r>
      <w:r>
        <w:rPr>
          <w:rFonts w:asciiTheme="majorHAnsi" w:eastAsiaTheme="minorEastAsia" w:hAnsiTheme="majorHAnsi" w:cstheme="majorHAnsi"/>
          <w:vertAlign w:val="subscript"/>
          <w:lang w:eastAsia="en-US"/>
        </w:rPr>
        <w:t>-1</w:t>
      </w:r>
      <w:r w:rsidRPr="00FB1115">
        <w:rPr>
          <w:rFonts w:asciiTheme="majorHAnsi" w:eastAsiaTheme="minorEastAsia" w:hAnsiTheme="majorHAnsi" w:cstheme="majorHAnsi"/>
          <w:lang w:eastAsia="en-US"/>
        </w:rPr>
        <w:t xml:space="preserve"> content vs time (up to 6 h</w:t>
      </w:r>
      <w:r w:rsidR="00C76E45">
        <w:rPr>
          <w:rFonts w:asciiTheme="majorHAnsi" w:eastAsiaTheme="minorEastAsia" w:hAnsiTheme="majorHAnsi" w:cstheme="majorHAnsi"/>
          <w:lang w:eastAsia="en-US"/>
        </w:rPr>
        <w:t>ours</w:t>
      </w:r>
      <w:r w:rsidRPr="00FB1115">
        <w:rPr>
          <w:rFonts w:asciiTheme="majorHAnsi" w:eastAsiaTheme="minorEastAsia" w:hAnsiTheme="majorHAnsi" w:cstheme="majorHAnsi"/>
          <w:lang w:eastAsia="en-US"/>
        </w:rPr>
        <w:t xml:space="preserve">) fitted with a one-phase exponential decay curve. The initial concentration of total OEA in plasma was 214 ± 84.3 µmol/g and LEA 143.5 ± 47.2 µmol/g following injection as extrapolated from the exponential decay and decreased bi-exponentially after the </w:t>
      </w:r>
      <w:proofErr w:type="gramStart"/>
      <w:r w:rsidRPr="00FB1115">
        <w:rPr>
          <w:rFonts w:asciiTheme="majorHAnsi" w:eastAsiaTheme="minorEastAsia" w:hAnsiTheme="majorHAnsi" w:cstheme="majorHAnsi"/>
          <w:lang w:eastAsia="en-US"/>
        </w:rPr>
        <w:t>6 h</w:t>
      </w:r>
      <w:r w:rsidR="00C76E45">
        <w:rPr>
          <w:rFonts w:asciiTheme="majorHAnsi" w:eastAsiaTheme="minorEastAsia" w:hAnsiTheme="majorHAnsi" w:cstheme="majorHAnsi"/>
          <w:lang w:eastAsia="en-US"/>
        </w:rPr>
        <w:t>our</w:t>
      </w:r>
      <w:proofErr w:type="gramEnd"/>
      <w:r w:rsidRPr="00FB1115">
        <w:rPr>
          <w:rFonts w:asciiTheme="majorHAnsi" w:eastAsiaTheme="minorEastAsia" w:hAnsiTheme="majorHAnsi" w:cstheme="majorHAnsi"/>
          <w:lang w:eastAsia="en-US"/>
        </w:rPr>
        <w:t xml:space="preserve"> sample. The PK profile</w:t>
      </w:r>
      <w:r>
        <w:rPr>
          <w:rFonts w:asciiTheme="majorHAnsi" w:eastAsiaTheme="minorEastAsia" w:hAnsiTheme="majorHAnsi" w:cstheme="majorHAnsi"/>
          <w:lang w:eastAsia="en-US"/>
        </w:rPr>
        <w:t>s</w:t>
      </w:r>
      <w:r w:rsidRPr="00FB1115">
        <w:rPr>
          <w:rFonts w:asciiTheme="majorHAnsi" w:eastAsiaTheme="minorEastAsia" w:hAnsiTheme="majorHAnsi" w:cstheme="majorHAnsi"/>
          <w:lang w:eastAsia="en-US"/>
        </w:rPr>
        <w:t xml:space="preserve"> of total NP in the plasma from 0 – 6</w:t>
      </w:r>
      <w:r w:rsidR="00277651">
        <w:rPr>
          <w:rFonts w:asciiTheme="majorHAnsi" w:eastAsiaTheme="minorEastAsia" w:hAnsiTheme="majorHAnsi" w:cstheme="majorHAnsi"/>
          <w:lang w:eastAsia="en-US"/>
        </w:rPr>
        <w:t xml:space="preserve"> hours</w:t>
      </w:r>
      <w:r w:rsidRPr="00FB1115">
        <w:rPr>
          <w:rFonts w:asciiTheme="majorHAnsi" w:eastAsiaTheme="minorEastAsia" w:hAnsiTheme="majorHAnsi" w:cstheme="majorHAnsi"/>
          <w:lang w:eastAsia="en-US"/>
        </w:rPr>
        <w:t xml:space="preserve"> were fit using a one-phase decay non-linear regression curve. The terminal half-life for </w:t>
      </w:r>
      <w:proofErr w:type="spellStart"/>
      <w:r w:rsidRPr="00FB1115">
        <w:rPr>
          <w:rFonts w:asciiTheme="majorHAnsi" w:eastAsiaTheme="minorEastAsia" w:hAnsiTheme="majorHAnsi" w:cstheme="majorHAnsi"/>
          <w:lang w:eastAsia="en-US"/>
        </w:rPr>
        <w:t>NP</w:t>
      </w:r>
      <w:r w:rsidRPr="00FB1115">
        <w:rPr>
          <w:rFonts w:asciiTheme="majorHAnsi" w:eastAsiaTheme="minorEastAsia" w:hAnsiTheme="majorHAnsi" w:cstheme="majorHAnsi"/>
          <w:vertAlign w:val="subscript"/>
          <w:lang w:eastAsia="en-US"/>
        </w:rPr>
        <w:t>non</w:t>
      </w:r>
      <w:proofErr w:type="spellEnd"/>
      <w:r w:rsidRPr="00FB1115">
        <w:rPr>
          <w:rFonts w:asciiTheme="majorHAnsi" w:eastAsiaTheme="minorEastAsia" w:hAnsiTheme="majorHAnsi" w:cstheme="majorHAnsi"/>
          <w:vertAlign w:val="subscript"/>
          <w:lang w:eastAsia="en-US"/>
        </w:rPr>
        <w:t xml:space="preserve">-targeted </w:t>
      </w:r>
      <w:r w:rsidRPr="00FB1115">
        <w:rPr>
          <w:rFonts w:asciiTheme="majorHAnsi" w:eastAsiaTheme="minorEastAsia" w:hAnsiTheme="majorHAnsi" w:cstheme="majorHAnsi"/>
          <w:lang w:eastAsia="en-US"/>
        </w:rPr>
        <w:t>was 0.16 h</w:t>
      </w:r>
      <w:r w:rsidR="00277651">
        <w:rPr>
          <w:rFonts w:asciiTheme="majorHAnsi" w:eastAsiaTheme="minorEastAsia" w:hAnsiTheme="majorHAnsi" w:cstheme="majorHAnsi"/>
          <w:lang w:eastAsia="en-US"/>
        </w:rPr>
        <w:t>ours</w:t>
      </w:r>
      <w:r w:rsidRPr="00FB1115">
        <w:rPr>
          <w:rFonts w:asciiTheme="majorHAnsi" w:eastAsiaTheme="minorEastAsia" w:hAnsiTheme="majorHAnsi" w:cstheme="majorHAnsi"/>
          <w:lang w:eastAsia="en-US"/>
        </w:rPr>
        <w:t xml:space="preserve"> (LEA), 0.20 h</w:t>
      </w:r>
      <w:r w:rsidR="00277651">
        <w:rPr>
          <w:rFonts w:asciiTheme="majorHAnsi" w:eastAsiaTheme="minorEastAsia" w:hAnsiTheme="majorHAnsi" w:cstheme="majorHAnsi"/>
          <w:lang w:eastAsia="en-US"/>
        </w:rPr>
        <w:t>ours</w:t>
      </w:r>
      <w:r w:rsidRPr="00FB1115">
        <w:rPr>
          <w:rFonts w:asciiTheme="majorHAnsi" w:eastAsiaTheme="minorEastAsia" w:hAnsiTheme="majorHAnsi" w:cstheme="majorHAnsi"/>
          <w:lang w:eastAsia="en-US"/>
        </w:rPr>
        <w:t xml:space="preserve"> (OEA).</w:t>
      </w:r>
      <w:r w:rsidRPr="00FB1115">
        <w:rPr>
          <w:rFonts w:asciiTheme="majorHAnsi" w:hAnsiTheme="majorHAnsi" w:cstheme="majorHAnsi"/>
        </w:rPr>
        <w:t xml:space="preserve"> </w:t>
      </w:r>
      <w:r w:rsidRPr="00FB1115">
        <w:rPr>
          <w:rFonts w:asciiTheme="majorHAnsi" w:eastAsiaTheme="minorEastAsia" w:hAnsiTheme="majorHAnsi" w:cstheme="majorHAnsi"/>
          <w:lang w:eastAsia="en-US"/>
        </w:rPr>
        <w:t xml:space="preserve">(B) </w:t>
      </w:r>
      <w:r w:rsidR="00C76E45">
        <w:rPr>
          <w:rFonts w:asciiTheme="majorHAnsi" w:eastAsiaTheme="minorEastAsia" w:hAnsiTheme="majorHAnsi" w:cstheme="majorHAnsi"/>
          <w:lang w:eastAsia="en-US"/>
        </w:rPr>
        <w:t>T</w:t>
      </w:r>
      <w:r w:rsidRPr="00FB1115">
        <w:rPr>
          <w:rFonts w:asciiTheme="majorHAnsi" w:eastAsiaTheme="minorEastAsia" w:hAnsiTheme="majorHAnsi" w:cstheme="majorHAnsi"/>
          <w:lang w:eastAsia="en-US"/>
        </w:rPr>
        <w:t>he half-life for NP</w:t>
      </w:r>
      <w:r w:rsidRPr="00FB1115">
        <w:rPr>
          <w:rFonts w:asciiTheme="majorHAnsi" w:eastAsiaTheme="minorEastAsia" w:hAnsiTheme="majorHAnsi" w:cstheme="majorHAnsi"/>
          <w:vertAlign w:val="subscript"/>
          <w:lang w:eastAsia="en-US"/>
        </w:rPr>
        <w:t>HAP</w:t>
      </w:r>
      <w:r w:rsidR="00277651">
        <w:rPr>
          <w:rFonts w:asciiTheme="majorHAnsi" w:eastAsiaTheme="minorEastAsia" w:hAnsiTheme="majorHAnsi" w:cstheme="majorHAnsi"/>
          <w:vertAlign w:val="subscript"/>
          <w:lang w:eastAsia="en-US"/>
        </w:rPr>
        <w:t>-1</w:t>
      </w:r>
      <w:r w:rsidRPr="00FB1115">
        <w:rPr>
          <w:rFonts w:asciiTheme="majorHAnsi" w:eastAsiaTheme="minorEastAsia" w:hAnsiTheme="majorHAnsi" w:cstheme="majorHAnsi"/>
          <w:lang w:eastAsia="en-US"/>
        </w:rPr>
        <w:t xml:space="preserve"> 0.31 h</w:t>
      </w:r>
      <w:r w:rsidR="00277651">
        <w:rPr>
          <w:rFonts w:asciiTheme="majorHAnsi" w:eastAsiaTheme="minorEastAsia" w:hAnsiTheme="majorHAnsi" w:cstheme="majorHAnsi"/>
          <w:lang w:eastAsia="en-US"/>
        </w:rPr>
        <w:t>ours</w:t>
      </w:r>
      <w:r w:rsidRPr="00FB1115">
        <w:rPr>
          <w:rFonts w:asciiTheme="majorHAnsi" w:eastAsiaTheme="minorEastAsia" w:hAnsiTheme="majorHAnsi" w:cstheme="majorHAnsi"/>
          <w:lang w:eastAsia="en-US"/>
        </w:rPr>
        <w:t xml:space="preserve"> (LEA) 0.48 h</w:t>
      </w:r>
      <w:r w:rsidR="00277651">
        <w:rPr>
          <w:rFonts w:asciiTheme="majorHAnsi" w:eastAsiaTheme="minorEastAsia" w:hAnsiTheme="majorHAnsi" w:cstheme="majorHAnsi"/>
          <w:lang w:eastAsia="en-US"/>
        </w:rPr>
        <w:t>ours</w:t>
      </w:r>
      <w:r w:rsidRPr="00FB1115">
        <w:rPr>
          <w:rFonts w:asciiTheme="majorHAnsi" w:eastAsiaTheme="minorEastAsia" w:hAnsiTheme="majorHAnsi" w:cstheme="majorHAnsi"/>
          <w:lang w:eastAsia="en-US"/>
        </w:rPr>
        <w:t xml:space="preserve"> (OEA). </w:t>
      </w:r>
      <w:proofErr w:type="spellStart"/>
      <w:r w:rsidRPr="00FB1115">
        <w:rPr>
          <w:rFonts w:asciiTheme="majorHAnsi" w:eastAsiaTheme="minorEastAsia" w:hAnsiTheme="majorHAnsi" w:cstheme="majorHAnsi"/>
          <w:lang w:eastAsia="en-US"/>
        </w:rPr>
        <w:t>Tissue:plasma</w:t>
      </w:r>
      <w:proofErr w:type="spellEnd"/>
      <w:r w:rsidRPr="00FB1115">
        <w:rPr>
          <w:rFonts w:asciiTheme="majorHAnsi" w:eastAsiaTheme="minorEastAsia" w:hAnsiTheme="majorHAnsi" w:cstheme="majorHAnsi"/>
          <w:lang w:eastAsia="en-US"/>
        </w:rPr>
        <w:t xml:space="preserve"> ratio of OEA and LEA in (C) </w:t>
      </w:r>
      <w:proofErr w:type="spellStart"/>
      <w:r w:rsidRPr="00FB1115">
        <w:rPr>
          <w:rFonts w:asciiTheme="majorHAnsi" w:eastAsiaTheme="minorEastAsia" w:hAnsiTheme="majorHAnsi" w:cstheme="majorHAnsi"/>
          <w:lang w:eastAsia="en-US"/>
        </w:rPr>
        <w:t>NP</w:t>
      </w:r>
      <w:r w:rsidRPr="00FB1115">
        <w:rPr>
          <w:rFonts w:asciiTheme="majorHAnsi" w:eastAsiaTheme="minorEastAsia" w:hAnsiTheme="majorHAnsi" w:cstheme="majorHAnsi"/>
          <w:vertAlign w:val="subscript"/>
          <w:lang w:eastAsia="en-US"/>
        </w:rPr>
        <w:t>non</w:t>
      </w:r>
      <w:proofErr w:type="spellEnd"/>
      <w:r w:rsidRPr="00FB1115">
        <w:rPr>
          <w:rFonts w:asciiTheme="majorHAnsi" w:eastAsiaTheme="minorEastAsia" w:hAnsiTheme="majorHAnsi" w:cstheme="majorHAnsi"/>
          <w:vertAlign w:val="subscript"/>
          <w:lang w:eastAsia="en-US"/>
        </w:rPr>
        <w:t xml:space="preserve">-targeted </w:t>
      </w:r>
      <w:r w:rsidRPr="00FB1115">
        <w:rPr>
          <w:rFonts w:asciiTheme="majorHAnsi" w:eastAsiaTheme="minorEastAsia" w:hAnsiTheme="majorHAnsi" w:cstheme="majorHAnsi"/>
          <w:lang w:eastAsia="en-US"/>
        </w:rPr>
        <w:t>and</w:t>
      </w:r>
      <w:r w:rsidR="00EB119F">
        <w:rPr>
          <w:rFonts w:asciiTheme="majorHAnsi" w:eastAsiaTheme="minorEastAsia" w:hAnsiTheme="majorHAnsi" w:cstheme="majorHAnsi"/>
          <w:lang w:eastAsia="en-US"/>
        </w:rPr>
        <w:t>;</w:t>
      </w:r>
      <w:r w:rsidRPr="00FB1115">
        <w:rPr>
          <w:rFonts w:asciiTheme="majorHAnsi" w:eastAsiaTheme="minorEastAsia" w:hAnsiTheme="majorHAnsi" w:cstheme="majorHAnsi"/>
          <w:lang w:eastAsia="en-US"/>
        </w:rPr>
        <w:t xml:space="preserve"> (D) NP</w:t>
      </w:r>
      <w:r w:rsidRPr="00FB1115">
        <w:rPr>
          <w:rFonts w:asciiTheme="majorHAnsi" w:eastAsiaTheme="minorEastAsia" w:hAnsiTheme="majorHAnsi" w:cstheme="majorHAnsi"/>
          <w:vertAlign w:val="subscript"/>
          <w:lang w:eastAsia="en-US"/>
        </w:rPr>
        <w:t>HAP</w:t>
      </w:r>
      <w:r>
        <w:rPr>
          <w:rFonts w:asciiTheme="majorHAnsi" w:eastAsiaTheme="minorEastAsia" w:hAnsiTheme="majorHAnsi" w:cstheme="majorHAnsi"/>
          <w:vertAlign w:val="subscript"/>
          <w:lang w:eastAsia="en-US"/>
        </w:rPr>
        <w:t>-</w:t>
      </w:r>
      <w:proofErr w:type="gramStart"/>
      <w:r>
        <w:rPr>
          <w:rFonts w:asciiTheme="majorHAnsi" w:eastAsiaTheme="minorEastAsia" w:hAnsiTheme="majorHAnsi" w:cstheme="majorHAnsi"/>
          <w:vertAlign w:val="subscript"/>
          <w:lang w:eastAsia="en-US"/>
        </w:rPr>
        <w:t>1</w:t>
      </w:r>
      <w:r w:rsidRPr="00FB1115">
        <w:rPr>
          <w:rFonts w:asciiTheme="majorHAnsi" w:eastAsiaTheme="minorEastAsia" w:hAnsiTheme="majorHAnsi" w:cstheme="majorHAnsi"/>
          <w:lang w:eastAsia="en-US"/>
        </w:rPr>
        <w:t xml:space="preserve">  treated</w:t>
      </w:r>
      <w:proofErr w:type="gramEnd"/>
      <w:r w:rsidRPr="00FB1115">
        <w:rPr>
          <w:rFonts w:asciiTheme="majorHAnsi" w:eastAsiaTheme="minorEastAsia" w:hAnsiTheme="majorHAnsi" w:cstheme="majorHAnsi"/>
          <w:lang w:eastAsia="en-US"/>
        </w:rPr>
        <w:t xml:space="preserve"> arthritic rats showing accumulation of NP to the inflamed paw at 6 h</w:t>
      </w:r>
      <w:r w:rsidR="00277651">
        <w:rPr>
          <w:rFonts w:asciiTheme="majorHAnsi" w:eastAsiaTheme="minorEastAsia" w:hAnsiTheme="majorHAnsi" w:cstheme="majorHAnsi"/>
          <w:lang w:eastAsia="en-US"/>
        </w:rPr>
        <w:t>ours</w:t>
      </w:r>
      <w:r w:rsidRPr="00FB1115">
        <w:rPr>
          <w:rFonts w:asciiTheme="majorHAnsi" w:eastAsiaTheme="minorEastAsia" w:hAnsiTheme="majorHAnsi" w:cstheme="majorHAnsi"/>
          <w:lang w:eastAsia="en-US"/>
        </w:rPr>
        <w:t xml:space="preserve"> (</w:t>
      </w:r>
      <w:r w:rsidR="00EB119F">
        <w:rPr>
          <w:rFonts w:asciiTheme="majorHAnsi" w:eastAsiaTheme="minorEastAsia" w:hAnsiTheme="majorHAnsi" w:cstheme="majorHAnsi"/>
          <w:lang w:eastAsia="en-US"/>
        </w:rPr>
        <w:t>m</w:t>
      </w:r>
      <w:r w:rsidR="00EB119F" w:rsidRPr="00FB1115">
        <w:rPr>
          <w:rFonts w:asciiTheme="majorHAnsi" w:eastAsiaTheme="minorEastAsia" w:hAnsiTheme="majorHAnsi" w:cstheme="majorHAnsi"/>
          <w:lang w:eastAsia="en-US"/>
        </w:rPr>
        <w:t>ean</w:t>
      </w:r>
      <w:r w:rsidRPr="00FB1115">
        <w:rPr>
          <w:rFonts w:asciiTheme="majorHAnsi" w:eastAsiaTheme="minorEastAsia" w:hAnsiTheme="majorHAnsi" w:cstheme="majorHAnsi"/>
          <w:lang w:eastAsia="en-US"/>
        </w:rPr>
        <w:t>, n = 5)</w:t>
      </w:r>
      <w:r w:rsidR="00EB119F">
        <w:rPr>
          <w:rFonts w:asciiTheme="majorHAnsi" w:eastAsiaTheme="minorEastAsia" w:hAnsiTheme="majorHAnsi" w:cstheme="majorHAnsi"/>
          <w:lang w:eastAsia="en-US"/>
        </w:rPr>
        <w:t>.</w:t>
      </w:r>
    </w:p>
    <w:p w14:paraId="7185F9DC" w14:textId="77777777" w:rsidR="00FC402F" w:rsidRDefault="00FC402F" w:rsidP="00FC402F">
      <w:pPr>
        <w:spacing w:after="0" w:line="360" w:lineRule="auto"/>
        <w:jc w:val="both"/>
        <w:rPr>
          <w:rFonts w:eastAsia="Calibri"/>
          <w:u w:val="single"/>
          <w:lang w:eastAsia="en-US"/>
        </w:rPr>
      </w:pPr>
    </w:p>
    <w:p w14:paraId="3CD267F9" w14:textId="77777777" w:rsidR="00C76E45" w:rsidRDefault="00C76E45" w:rsidP="00EB119F">
      <w:pPr>
        <w:spacing w:after="0" w:line="360" w:lineRule="auto"/>
        <w:jc w:val="both"/>
        <w:rPr>
          <w:rFonts w:asciiTheme="majorHAnsi" w:eastAsia="Calibri" w:hAnsiTheme="majorHAnsi" w:cstheme="majorHAnsi"/>
          <w:b/>
          <w:bCs/>
          <w:lang w:eastAsia="en-US"/>
        </w:rPr>
      </w:pPr>
    </w:p>
    <w:p w14:paraId="5CF6CB5C" w14:textId="77777777" w:rsidR="00C76E45" w:rsidRDefault="00C76E45" w:rsidP="00EB119F">
      <w:pPr>
        <w:spacing w:after="0" w:line="360" w:lineRule="auto"/>
        <w:jc w:val="both"/>
        <w:rPr>
          <w:rFonts w:asciiTheme="majorHAnsi" w:eastAsia="Calibri" w:hAnsiTheme="majorHAnsi" w:cstheme="majorHAnsi"/>
          <w:b/>
          <w:bCs/>
          <w:lang w:eastAsia="en-US"/>
        </w:rPr>
      </w:pPr>
    </w:p>
    <w:p w14:paraId="117A54E8" w14:textId="77777777" w:rsidR="00C76E45" w:rsidRDefault="00C76E45" w:rsidP="00EB119F">
      <w:pPr>
        <w:spacing w:after="0" w:line="360" w:lineRule="auto"/>
        <w:jc w:val="both"/>
        <w:rPr>
          <w:rFonts w:asciiTheme="majorHAnsi" w:eastAsia="Calibri" w:hAnsiTheme="majorHAnsi" w:cstheme="majorHAnsi"/>
          <w:b/>
          <w:bCs/>
          <w:lang w:eastAsia="en-US"/>
        </w:rPr>
      </w:pPr>
    </w:p>
    <w:p w14:paraId="29DEFBB9" w14:textId="02E47572" w:rsidR="00EB119F" w:rsidRPr="00277651" w:rsidRDefault="00277651" w:rsidP="00EB119F">
      <w:pPr>
        <w:spacing w:after="0" w:line="360" w:lineRule="auto"/>
        <w:jc w:val="both"/>
        <w:rPr>
          <w:rFonts w:asciiTheme="majorHAnsi" w:eastAsia="Calibri" w:hAnsiTheme="majorHAnsi" w:cstheme="majorHAnsi"/>
          <w:b/>
          <w:bCs/>
          <w:lang w:eastAsia="en-US"/>
        </w:rPr>
      </w:pPr>
      <w:r>
        <w:rPr>
          <w:rFonts w:asciiTheme="majorHAnsi" w:eastAsia="Calibri" w:hAnsiTheme="majorHAnsi" w:cstheme="majorHAnsi"/>
          <w:b/>
          <w:bCs/>
          <w:lang w:eastAsia="en-US"/>
        </w:rPr>
        <w:lastRenderedPageBreak/>
        <w:t>F</w:t>
      </w:r>
      <w:r w:rsidRPr="00277651">
        <w:rPr>
          <w:rFonts w:asciiTheme="majorHAnsi" w:eastAsia="Calibri" w:hAnsiTheme="majorHAnsi" w:cstheme="majorHAnsi"/>
          <w:b/>
          <w:bCs/>
          <w:lang w:eastAsia="en-US"/>
        </w:rPr>
        <w:t>igure 5</w:t>
      </w:r>
    </w:p>
    <w:p w14:paraId="6A6BBFDF" w14:textId="77777777" w:rsidR="00EB119F" w:rsidRPr="00FB1115" w:rsidRDefault="00EB119F" w:rsidP="00EB119F">
      <w:pPr>
        <w:spacing w:after="0" w:line="360" w:lineRule="auto"/>
        <w:contextualSpacing/>
        <w:jc w:val="both"/>
        <w:rPr>
          <w:rFonts w:asciiTheme="majorHAnsi" w:eastAsia="Calibri" w:hAnsiTheme="majorHAnsi" w:cstheme="majorHAnsi"/>
          <w:lang w:eastAsia="en-US"/>
        </w:rPr>
      </w:pPr>
      <w:r w:rsidRPr="00FB1115">
        <w:rPr>
          <w:rFonts w:asciiTheme="majorHAnsi" w:eastAsia="Calibri" w:hAnsiTheme="majorHAnsi" w:cstheme="majorHAnsi"/>
          <w:lang w:eastAsia="en-US"/>
        </w:rPr>
        <w:t>(A) PCA plots and (B) sample-sample distance heat maps of RNA-seq data from RA-FLS cells; RA_UT, RA_NP, RA_TNF, RA_TNF_NP. RA-FLS samples clustering met assurance quality.  The number of clusters, along with the percentage variance between the clusters was reported and confirmed that the samples clustered within their respective treatment groups, as expected.</w:t>
      </w:r>
    </w:p>
    <w:p w14:paraId="77ACC577" w14:textId="77777777" w:rsidR="00EB119F" w:rsidRDefault="00EB119F" w:rsidP="00FC402F">
      <w:pPr>
        <w:spacing w:after="0" w:line="360" w:lineRule="auto"/>
        <w:jc w:val="both"/>
        <w:rPr>
          <w:rFonts w:eastAsia="Calibri"/>
          <w:u w:val="single"/>
          <w:lang w:eastAsia="en-US"/>
        </w:rPr>
      </w:pPr>
    </w:p>
    <w:p w14:paraId="5A58CA67" w14:textId="17DA0743" w:rsidR="00EB119F" w:rsidRPr="00F80D42" w:rsidRDefault="00F80D42" w:rsidP="00EB119F">
      <w:pPr>
        <w:spacing w:after="0" w:line="360" w:lineRule="auto"/>
        <w:jc w:val="both"/>
        <w:rPr>
          <w:rFonts w:asciiTheme="majorHAnsi" w:eastAsia="Calibri" w:hAnsiTheme="majorHAnsi" w:cstheme="majorHAnsi"/>
          <w:b/>
          <w:bCs/>
          <w:lang w:eastAsia="en-US"/>
        </w:rPr>
      </w:pPr>
      <w:r>
        <w:rPr>
          <w:rFonts w:asciiTheme="majorHAnsi" w:eastAsia="Calibri" w:hAnsiTheme="majorHAnsi" w:cstheme="majorHAnsi"/>
          <w:b/>
          <w:bCs/>
          <w:lang w:eastAsia="en-US"/>
        </w:rPr>
        <w:t>F</w:t>
      </w:r>
      <w:r w:rsidRPr="00F80D42">
        <w:rPr>
          <w:rFonts w:asciiTheme="majorHAnsi" w:eastAsia="Calibri" w:hAnsiTheme="majorHAnsi" w:cstheme="majorHAnsi"/>
          <w:b/>
          <w:bCs/>
          <w:lang w:eastAsia="en-US"/>
        </w:rPr>
        <w:t>igure 6</w:t>
      </w:r>
    </w:p>
    <w:p w14:paraId="2612AC50" w14:textId="34320584" w:rsidR="00F80D42" w:rsidRDefault="00EB119F" w:rsidP="00F80D42">
      <w:pPr>
        <w:spacing w:line="360" w:lineRule="auto"/>
        <w:jc w:val="both"/>
        <w:rPr>
          <w:rFonts w:asciiTheme="majorHAnsi" w:hAnsiTheme="majorHAnsi" w:cstheme="majorHAnsi"/>
          <w:color w:val="000000" w:themeColor="text1"/>
          <w:shd w:val="clear" w:color="auto" w:fill="FFFFFF"/>
        </w:rPr>
      </w:pPr>
      <w:r w:rsidRPr="00FB1115">
        <w:rPr>
          <w:rFonts w:asciiTheme="majorHAnsi" w:eastAsia="Calibri" w:hAnsiTheme="majorHAnsi" w:cstheme="majorHAnsi"/>
          <w:lang w:eastAsia="en-US"/>
        </w:rPr>
        <w:t>Heat map of the top DE genes based on comparison of RNA-seq data between TNF-α and NP treated cells (RA-TNF/NP), and TNF-α treated (RA-TNF) RA-FLS cells. The normali</w:t>
      </w:r>
      <w:r w:rsidR="00C76E45">
        <w:rPr>
          <w:rFonts w:asciiTheme="majorHAnsi" w:eastAsia="Calibri" w:hAnsiTheme="majorHAnsi" w:cstheme="majorHAnsi"/>
          <w:lang w:eastAsia="en-US"/>
        </w:rPr>
        <w:t>z</w:t>
      </w:r>
      <w:r w:rsidRPr="00FB1115">
        <w:rPr>
          <w:rFonts w:asciiTheme="majorHAnsi" w:eastAsia="Calibri" w:hAnsiTheme="majorHAnsi" w:cstheme="majorHAnsi"/>
          <w:lang w:eastAsia="en-US"/>
        </w:rPr>
        <w:t xml:space="preserve">ed RNA-Seq data is in log2 scale, where red is highly expressed genes and blue is low expression. To be included in the heat map, genes were required to have at least 1000 counts (reads), totalled over all samples, where the standard deviation of log2 expression differences had to exceed two. The heatmap highlights an immunological shift from highly pro-inflammatory in an acute inflammatory environment, mediated by NP. </w:t>
      </w:r>
    </w:p>
    <w:p w14:paraId="7E0A6693" w14:textId="77777777" w:rsidR="00C76E45" w:rsidRPr="00F80D42" w:rsidRDefault="00C76E45" w:rsidP="00F80D42">
      <w:pPr>
        <w:spacing w:line="360" w:lineRule="auto"/>
        <w:jc w:val="both"/>
        <w:rPr>
          <w:rFonts w:asciiTheme="majorHAnsi" w:hAnsiTheme="majorHAnsi" w:cstheme="majorHAnsi"/>
          <w:color w:val="000000" w:themeColor="text1"/>
          <w:shd w:val="clear" w:color="auto" w:fill="FFFFFF"/>
        </w:rPr>
      </w:pPr>
    </w:p>
    <w:p w14:paraId="1EEDE315" w14:textId="5567DBBB" w:rsidR="00EB119F" w:rsidRPr="00F80D42" w:rsidRDefault="00F80D42" w:rsidP="00EB119F">
      <w:pPr>
        <w:spacing w:after="0" w:line="360" w:lineRule="auto"/>
        <w:jc w:val="both"/>
        <w:rPr>
          <w:rFonts w:asciiTheme="majorHAnsi" w:eastAsia="Calibri" w:hAnsiTheme="majorHAnsi" w:cstheme="majorHAnsi"/>
          <w:b/>
          <w:bCs/>
          <w:lang w:eastAsia="en-US"/>
        </w:rPr>
      </w:pPr>
      <w:r>
        <w:rPr>
          <w:rFonts w:asciiTheme="majorHAnsi" w:eastAsia="Calibri" w:hAnsiTheme="majorHAnsi" w:cstheme="majorHAnsi"/>
          <w:b/>
          <w:bCs/>
          <w:lang w:eastAsia="en-US"/>
        </w:rPr>
        <w:t>F</w:t>
      </w:r>
      <w:r w:rsidRPr="00F80D42">
        <w:rPr>
          <w:rFonts w:asciiTheme="majorHAnsi" w:eastAsia="Calibri" w:hAnsiTheme="majorHAnsi" w:cstheme="majorHAnsi"/>
          <w:b/>
          <w:bCs/>
          <w:lang w:eastAsia="en-US"/>
        </w:rPr>
        <w:t>igure 7</w:t>
      </w:r>
    </w:p>
    <w:p w14:paraId="4C77C935" w14:textId="77777777" w:rsidR="00D14E09" w:rsidRDefault="00EB119F" w:rsidP="00D14E09">
      <w:pPr>
        <w:spacing w:after="0" w:line="360" w:lineRule="auto"/>
        <w:jc w:val="both"/>
        <w:rPr>
          <w:rFonts w:eastAsia="Calibri"/>
          <w:lang w:eastAsia="en-US"/>
        </w:rPr>
      </w:pPr>
      <w:r w:rsidRPr="00FB1115">
        <w:rPr>
          <w:rFonts w:asciiTheme="majorHAnsi" w:eastAsia="Calibri" w:hAnsiTheme="majorHAnsi" w:cstheme="majorHAnsi"/>
          <w:lang w:eastAsia="en-US"/>
        </w:rPr>
        <w:t>Network pathways of DE expressed genes in (A) Macrophages, Fibroblasts and Endothelial Cells in Rheumatoid Arthritis (B) Hepatic Fibrosis/Hepatic Stellate Cell Activation (C) LXR/RXR Activation. Activation states are taken from DE genes obtained from RNA-seq data of RA-TNF/NF treated cells compared to RA-TNF treated cells. Green represents low expression; red represents high expression.</w:t>
      </w:r>
      <w:r w:rsidR="00D14E09" w:rsidRPr="00C356F9">
        <w:rPr>
          <w:rFonts w:eastAsia="Calibri"/>
          <w:lang w:eastAsia="en-US"/>
        </w:rPr>
        <w:t xml:space="preserve"> </w:t>
      </w:r>
    </w:p>
    <w:p w14:paraId="08B4AFAD" w14:textId="10E8C26F" w:rsidR="00FC402F" w:rsidRPr="0010710C" w:rsidRDefault="0010710C" w:rsidP="00D14E09">
      <w:pPr>
        <w:spacing w:after="0" w:line="360" w:lineRule="auto"/>
        <w:jc w:val="both"/>
        <w:rPr>
          <w:rFonts w:asciiTheme="majorHAnsi" w:eastAsia="Calibri" w:hAnsiTheme="majorHAnsi" w:cstheme="majorHAnsi"/>
          <w:lang w:eastAsia="en-US"/>
        </w:rPr>
      </w:pPr>
      <w:r>
        <w:rPr>
          <w:rFonts w:asciiTheme="majorHAnsi" w:eastAsia="Calibri" w:hAnsiTheme="majorHAnsi" w:cstheme="majorHAnsi"/>
          <w:noProof/>
          <w:lang w:eastAsia="en-US"/>
        </w:rPr>
        <w:lastRenderedPageBreak/>
        <w:drawing>
          <wp:inline distT="0" distB="0" distL="0" distR="0" wp14:anchorId="79A76A1C" wp14:editId="269EAF6E">
            <wp:extent cx="5727700" cy="8273415"/>
            <wp:effectExtent l="0" t="0" r="0" b="0"/>
            <wp:docPr id="12" name="Picture 12" descr="Engineering draw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ngineering drawing&#10;&#10;Description automatically generated with low confidence"/>
                    <pic:cNvPicPr/>
                  </pic:nvPicPr>
                  <pic:blipFill>
                    <a:blip r:embed="rId4">
                      <a:extLst>
                        <a:ext uri="{28A0092B-C50C-407E-A947-70E740481C1C}">
                          <a14:useLocalDpi xmlns:a14="http://schemas.microsoft.com/office/drawing/2010/main" val="0"/>
                        </a:ext>
                      </a:extLst>
                    </a:blip>
                    <a:stretch>
                      <a:fillRect/>
                    </a:stretch>
                  </pic:blipFill>
                  <pic:spPr>
                    <a:xfrm>
                      <a:off x="0" y="0"/>
                      <a:ext cx="5727700" cy="8273415"/>
                    </a:xfrm>
                    <a:prstGeom prst="rect">
                      <a:avLst/>
                    </a:prstGeom>
                  </pic:spPr>
                </pic:pic>
              </a:graphicData>
            </a:graphic>
          </wp:inline>
        </w:drawing>
      </w:r>
    </w:p>
    <w:p w14:paraId="789692CC" w14:textId="77777777" w:rsidR="00FC402F" w:rsidRPr="00C356F9" w:rsidRDefault="00FC402F" w:rsidP="00FC402F">
      <w:pPr>
        <w:rPr>
          <w:rFonts w:eastAsia="Calibri"/>
          <w:b/>
          <w:noProof/>
        </w:rPr>
      </w:pPr>
    </w:p>
    <w:p w14:paraId="438A84A2" w14:textId="1756F7B5" w:rsidR="00FC402F" w:rsidRPr="00C356F9" w:rsidRDefault="00E80191" w:rsidP="00FC402F">
      <w:pPr>
        <w:rPr>
          <w:rFonts w:eastAsia="Calibri"/>
          <w:noProof/>
        </w:rPr>
      </w:pPr>
      <w:r>
        <w:rPr>
          <w:rFonts w:eastAsia="Calibri"/>
          <w:noProof/>
        </w:rPr>
        <w:lastRenderedPageBreak/>
        <w:drawing>
          <wp:inline distT="0" distB="0" distL="0" distR="0" wp14:anchorId="7E699A71" wp14:editId="604AB4E7">
            <wp:extent cx="5727700" cy="82734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5727700" cy="8273415"/>
                    </a:xfrm>
                    <a:prstGeom prst="rect">
                      <a:avLst/>
                    </a:prstGeom>
                  </pic:spPr>
                </pic:pic>
              </a:graphicData>
            </a:graphic>
          </wp:inline>
        </w:drawing>
      </w:r>
    </w:p>
    <w:p w14:paraId="3D2ACC33" w14:textId="77777777" w:rsidR="00FC402F" w:rsidRPr="00C356F9" w:rsidRDefault="00FC402F" w:rsidP="00FC402F">
      <w:pPr>
        <w:rPr>
          <w:rFonts w:eastAsia="Calibri"/>
          <w:noProof/>
        </w:rPr>
      </w:pPr>
    </w:p>
    <w:p w14:paraId="37461B0F" w14:textId="1383E54E" w:rsidR="00FC402F" w:rsidRPr="00C356F9" w:rsidRDefault="0010710C" w:rsidP="00FC402F">
      <w:pPr>
        <w:rPr>
          <w:rFonts w:eastAsia="Calibri"/>
          <w:b/>
          <w:lang w:eastAsia="en-US"/>
        </w:rPr>
      </w:pPr>
      <w:r>
        <w:rPr>
          <w:rFonts w:asciiTheme="majorHAnsi" w:eastAsia="Calibri" w:hAnsiTheme="majorHAnsi" w:cstheme="majorHAnsi"/>
          <w:noProof/>
          <w:lang w:eastAsia="en-US"/>
        </w:rPr>
        <w:lastRenderedPageBreak/>
        <w:drawing>
          <wp:inline distT="0" distB="0" distL="0" distR="0" wp14:anchorId="46008B25" wp14:editId="2DA0F5E9">
            <wp:extent cx="5727700" cy="82734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6">
                      <a:extLst>
                        <a:ext uri="{28A0092B-C50C-407E-A947-70E740481C1C}">
                          <a14:useLocalDpi xmlns:a14="http://schemas.microsoft.com/office/drawing/2010/main" val="0"/>
                        </a:ext>
                      </a:extLst>
                    </a:blip>
                    <a:stretch>
                      <a:fillRect/>
                    </a:stretch>
                  </pic:blipFill>
                  <pic:spPr>
                    <a:xfrm>
                      <a:off x="0" y="0"/>
                      <a:ext cx="5727700" cy="8273415"/>
                    </a:xfrm>
                    <a:prstGeom prst="rect">
                      <a:avLst/>
                    </a:prstGeom>
                  </pic:spPr>
                </pic:pic>
              </a:graphicData>
            </a:graphic>
          </wp:inline>
        </w:drawing>
      </w:r>
    </w:p>
    <w:p w14:paraId="22C0E64A" w14:textId="77777777" w:rsidR="0010710C" w:rsidRDefault="0010710C" w:rsidP="00FC402F">
      <w:pPr>
        <w:rPr>
          <w:rFonts w:eastAsia="Calibri"/>
          <w:b/>
          <w:sz w:val="28"/>
          <w:lang w:eastAsia="en-US"/>
        </w:rPr>
      </w:pPr>
    </w:p>
    <w:p w14:paraId="1788E72B" w14:textId="26E3C363" w:rsidR="00FC402F" w:rsidRDefault="00730CC8" w:rsidP="00FC402F">
      <w:pPr>
        <w:rPr>
          <w:rFonts w:eastAsia="Calibri"/>
          <w:b/>
          <w:sz w:val="28"/>
          <w:lang w:eastAsia="en-US"/>
        </w:rPr>
      </w:pPr>
      <w:r>
        <w:rPr>
          <w:rFonts w:eastAsia="Calibri"/>
          <w:b/>
          <w:noProof/>
          <w:sz w:val="28"/>
          <w:lang w:eastAsia="en-US"/>
        </w:rPr>
        <w:lastRenderedPageBreak/>
        <w:drawing>
          <wp:inline distT="0" distB="0" distL="0" distR="0" wp14:anchorId="0ACB80AA" wp14:editId="44F5429F">
            <wp:extent cx="5727700" cy="8273415"/>
            <wp:effectExtent l="0" t="0" r="0" b="0"/>
            <wp:docPr id="4" name="Picture 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engineering drawing&#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727700" cy="8273415"/>
                    </a:xfrm>
                    <a:prstGeom prst="rect">
                      <a:avLst/>
                    </a:prstGeom>
                  </pic:spPr>
                </pic:pic>
              </a:graphicData>
            </a:graphic>
          </wp:inline>
        </w:drawing>
      </w:r>
    </w:p>
    <w:p w14:paraId="59D83ED8" w14:textId="77777777" w:rsidR="00FC402F" w:rsidRDefault="00FC402F" w:rsidP="00FC402F">
      <w:pPr>
        <w:rPr>
          <w:rFonts w:eastAsia="Calibri"/>
          <w:b/>
          <w:sz w:val="28"/>
          <w:lang w:eastAsia="en-US"/>
        </w:rPr>
      </w:pPr>
    </w:p>
    <w:p w14:paraId="269DA942" w14:textId="177935B3" w:rsidR="00FC402F" w:rsidRDefault="0010710C" w:rsidP="00FC402F">
      <w:pPr>
        <w:rPr>
          <w:rFonts w:eastAsia="Calibri"/>
          <w:lang w:eastAsia="en-US"/>
        </w:rPr>
      </w:pPr>
      <w:r>
        <w:rPr>
          <w:rFonts w:asciiTheme="majorHAnsi" w:eastAsia="Calibri" w:hAnsiTheme="majorHAnsi" w:cstheme="majorHAnsi"/>
          <w:noProof/>
          <w:lang w:eastAsia="en-US"/>
        </w:rPr>
        <w:lastRenderedPageBreak/>
        <w:drawing>
          <wp:inline distT="0" distB="0" distL="0" distR="0" wp14:anchorId="200DDB83" wp14:editId="437A5CBA">
            <wp:extent cx="5727700" cy="8273415"/>
            <wp:effectExtent l="0" t="0" r="0" b="0"/>
            <wp:docPr id="18" name="Picture 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27700" cy="8273415"/>
                    </a:xfrm>
                    <a:prstGeom prst="rect">
                      <a:avLst/>
                    </a:prstGeom>
                  </pic:spPr>
                </pic:pic>
              </a:graphicData>
            </a:graphic>
          </wp:inline>
        </w:drawing>
      </w:r>
    </w:p>
    <w:p w14:paraId="7798B31E" w14:textId="77777777" w:rsidR="0010710C" w:rsidRDefault="0010710C" w:rsidP="00FC402F">
      <w:pPr>
        <w:rPr>
          <w:rFonts w:eastAsia="Calibri"/>
          <w:lang w:eastAsia="en-US"/>
        </w:rPr>
      </w:pPr>
    </w:p>
    <w:p w14:paraId="39C69A2B" w14:textId="43C2DA31" w:rsidR="00FC402F" w:rsidRPr="00C356F9" w:rsidRDefault="0010710C" w:rsidP="00FC402F">
      <w:pPr>
        <w:rPr>
          <w:rFonts w:eastAsia="Calibri"/>
          <w:lang w:eastAsia="en-US"/>
        </w:rPr>
      </w:pPr>
      <w:r>
        <w:rPr>
          <w:rFonts w:asciiTheme="majorHAnsi" w:eastAsia="Calibri" w:hAnsiTheme="majorHAnsi" w:cstheme="majorHAnsi"/>
          <w:noProof/>
          <w:lang w:eastAsia="en-US"/>
        </w:rPr>
        <w:lastRenderedPageBreak/>
        <w:drawing>
          <wp:inline distT="0" distB="0" distL="0" distR="0" wp14:anchorId="253952C8" wp14:editId="1E620785">
            <wp:extent cx="6140495" cy="8869680"/>
            <wp:effectExtent l="0" t="0" r="6350" b="0"/>
            <wp:docPr id="19" name="Picture 19" descr="Chart, waterfall 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waterfall chart, treemap cha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6155107" cy="8890787"/>
                    </a:xfrm>
                    <a:prstGeom prst="rect">
                      <a:avLst/>
                    </a:prstGeom>
                  </pic:spPr>
                </pic:pic>
              </a:graphicData>
            </a:graphic>
          </wp:inline>
        </w:drawing>
      </w:r>
    </w:p>
    <w:p w14:paraId="13152DE1" w14:textId="4C8B2C5E" w:rsidR="00FC402F" w:rsidRPr="00C356F9" w:rsidRDefault="00F36A93" w:rsidP="00FC402F">
      <w:pPr>
        <w:rPr>
          <w:rFonts w:eastAsia="Calibri"/>
          <w:lang w:eastAsia="en-US"/>
        </w:rPr>
      </w:pPr>
      <w:r>
        <w:rPr>
          <w:rFonts w:asciiTheme="majorHAnsi" w:eastAsia="Calibri" w:hAnsiTheme="majorHAnsi" w:cstheme="majorHAnsi"/>
          <w:noProof/>
          <w:lang w:eastAsia="en-US"/>
        </w:rPr>
        <w:lastRenderedPageBreak/>
        <w:drawing>
          <wp:inline distT="0" distB="0" distL="0" distR="0" wp14:anchorId="1231F98D" wp14:editId="76E1091C">
            <wp:extent cx="5727700" cy="8273415"/>
            <wp:effectExtent l="0" t="0" r="0" b="0"/>
            <wp:docPr id="20" name="Picture 2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schematic&#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27700" cy="8273415"/>
                    </a:xfrm>
                    <a:prstGeom prst="rect">
                      <a:avLst/>
                    </a:prstGeom>
                  </pic:spPr>
                </pic:pic>
              </a:graphicData>
            </a:graphic>
          </wp:inline>
        </w:drawing>
      </w:r>
      <w:r w:rsidR="00FC402F" w:rsidRPr="00C356F9">
        <w:rPr>
          <w:rFonts w:eastAsia="Calibri"/>
          <w:lang w:eastAsia="en-US"/>
        </w:rPr>
        <w:br w:type="page"/>
      </w:r>
    </w:p>
    <w:p w14:paraId="21F26ABC" w14:textId="77777777" w:rsidR="00F36A93" w:rsidRDefault="00F36A93" w:rsidP="00FC402F">
      <w:pPr>
        <w:rPr>
          <w:rFonts w:eastAsia="Calibri"/>
          <w:b/>
          <w:sz w:val="28"/>
          <w:lang w:eastAsia="en-US"/>
        </w:rPr>
      </w:pPr>
    </w:p>
    <w:p w14:paraId="13D7C3A1" w14:textId="3227682A" w:rsidR="00D7702A" w:rsidRPr="00F36A93" w:rsidRDefault="00F36A93">
      <w:pPr>
        <w:rPr>
          <w:rFonts w:eastAsia="Calibri"/>
          <w:b/>
          <w:lang w:eastAsia="en-US"/>
        </w:rPr>
      </w:pPr>
      <w:r>
        <w:rPr>
          <w:rFonts w:asciiTheme="majorHAnsi" w:eastAsia="Calibri" w:hAnsiTheme="majorHAnsi" w:cstheme="majorHAnsi"/>
          <w:noProof/>
          <w:lang w:eastAsia="en-US"/>
        </w:rPr>
        <w:drawing>
          <wp:inline distT="0" distB="0" distL="0" distR="0" wp14:anchorId="7FC8617E" wp14:editId="0919E4A7">
            <wp:extent cx="5727700" cy="8273415"/>
            <wp:effectExtent l="0" t="0" r="0" b="0"/>
            <wp:docPr id="21" name="Picture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27700" cy="8273415"/>
                    </a:xfrm>
                    <a:prstGeom prst="rect">
                      <a:avLst/>
                    </a:prstGeom>
                  </pic:spPr>
                </pic:pic>
              </a:graphicData>
            </a:graphic>
          </wp:inline>
        </w:drawing>
      </w:r>
      <w:r w:rsidR="00FC402F" w:rsidRPr="00C356F9">
        <w:rPr>
          <w:rFonts w:eastAsia="Calibri"/>
          <w:lang w:eastAsia="en-US"/>
        </w:rPr>
        <w:t xml:space="preserve"> </w:t>
      </w:r>
    </w:p>
    <w:sectPr w:rsidR="00D7702A" w:rsidRPr="00F36A93" w:rsidSect="00E0694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02F"/>
    <w:rsid w:val="0010710C"/>
    <w:rsid w:val="00277651"/>
    <w:rsid w:val="002A124F"/>
    <w:rsid w:val="002C6B26"/>
    <w:rsid w:val="00413A8C"/>
    <w:rsid w:val="0048309C"/>
    <w:rsid w:val="00730CC8"/>
    <w:rsid w:val="00883728"/>
    <w:rsid w:val="00971396"/>
    <w:rsid w:val="00C12862"/>
    <w:rsid w:val="00C76E45"/>
    <w:rsid w:val="00D14E09"/>
    <w:rsid w:val="00D7702A"/>
    <w:rsid w:val="00DA3C62"/>
    <w:rsid w:val="00DD22D0"/>
    <w:rsid w:val="00E06946"/>
    <w:rsid w:val="00E80191"/>
    <w:rsid w:val="00E93994"/>
    <w:rsid w:val="00EB119F"/>
    <w:rsid w:val="00ED4C5D"/>
    <w:rsid w:val="00F36A93"/>
    <w:rsid w:val="00F80D42"/>
    <w:rsid w:val="00FC40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D4BDFFE"/>
  <w15:chartTrackingRefBased/>
  <w15:docId w15:val="{72F0897A-B378-9947-A3D5-E94A6DAD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02F"/>
    <w:pPr>
      <w:spacing w:after="160" w:line="259" w:lineRule="auto"/>
    </w:pPr>
    <w:rPr>
      <w:rFonts w:ascii="Calibri" w:eastAsia="Times New Roman" w:hAnsi="Calibri" w:cs="Times New Roman"/>
      <w:sz w:val="22"/>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11</Pages>
  <Words>1001</Words>
  <Characters>5708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Manolios</dc:creator>
  <cp:keywords/>
  <dc:description/>
  <cp:lastModifiedBy>Nicholas Manolios</cp:lastModifiedBy>
  <cp:revision>15</cp:revision>
  <dcterms:created xsi:type="dcterms:W3CDTF">2022-08-10T23:56:00Z</dcterms:created>
  <dcterms:modified xsi:type="dcterms:W3CDTF">2022-09-01T00:00:00Z</dcterms:modified>
</cp:coreProperties>
</file>