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9437CC" w14:textId="77777777" w:rsidR="00FA1AD9" w:rsidRPr="007616F3" w:rsidRDefault="00FA1AD9" w:rsidP="00FA1AD9">
      <w:pPr>
        <w:jc w:val="center"/>
        <w:rPr>
          <w:b/>
          <w:bCs/>
        </w:rPr>
      </w:pPr>
      <w:r w:rsidRPr="007616F3">
        <w:rPr>
          <w:b/>
          <w:bCs/>
        </w:rPr>
        <w:t>Supplementary Materials and Methods</w:t>
      </w:r>
    </w:p>
    <w:p w14:paraId="412D654D" w14:textId="77777777" w:rsidR="00FA1AD9" w:rsidRPr="007616F3" w:rsidRDefault="00FA1AD9" w:rsidP="00FA1AD9">
      <w:pPr>
        <w:jc w:val="center"/>
        <w:rPr>
          <w:b/>
          <w:bCs/>
        </w:rPr>
      </w:pPr>
    </w:p>
    <w:p w14:paraId="05940CCC" w14:textId="77777777" w:rsidR="00FA1AD9" w:rsidRPr="007616F3" w:rsidRDefault="00FA1AD9" w:rsidP="007616F3">
      <w:pPr>
        <w:spacing w:line="480" w:lineRule="auto"/>
        <w:jc w:val="center"/>
        <w:rPr>
          <w:b/>
          <w:bCs/>
        </w:rPr>
      </w:pPr>
      <w:r w:rsidRPr="007616F3">
        <w:rPr>
          <w:b/>
          <w:bCs/>
        </w:rPr>
        <w:t>Supplementary Methods</w:t>
      </w:r>
    </w:p>
    <w:p w14:paraId="1BBBAF13" w14:textId="77777777" w:rsidR="00FA1AD9" w:rsidRPr="007616F3" w:rsidRDefault="00FA1AD9" w:rsidP="00FA1AD9">
      <w:pPr>
        <w:rPr>
          <w:b/>
          <w:bCs/>
        </w:rPr>
      </w:pPr>
      <w:r w:rsidRPr="007616F3">
        <w:rPr>
          <w:b/>
          <w:bCs/>
        </w:rPr>
        <w:t>Participants</w:t>
      </w:r>
    </w:p>
    <w:p w14:paraId="0A3831E4" w14:textId="77777777" w:rsidR="00FA1AD9" w:rsidRPr="007616F3" w:rsidRDefault="00FA1AD9" w:rsidP="00FA1AD9">
      <w:pPr>
        <w:rPr>
          <w:b/>
          <w:bCs/>
        </w:rPr>
      </w:pPr>
    </w:p>
    <w:p w14:paraId="7F5EF806" w14:textId="4DBE6808" w:rsidR="00FA1AD9" w:rsidRPr="007616F3" w:rsidRDefault="00FA1AD9" w:rsidP="00FA1AD9">
      <w:pPr>
        <w:spacing w:line="480" w:lineRule="auto"/>
        <w:ind w:firstLine="720"/>
      </w:pPr>
      <w:r w:rsidRPr="007616F3">
        <w:t>As previously reported in a prior report from the overall study</w:t>
      </w:r>
      <w:r w:rsidR="00FF743D">
        <w:t>,</w:t>
      </w:r>
      <w:r w:rsidRPr="007616F3">
        <w:fldChar w:fldCharType="begin"/>
      </w:r>
      <w:r w:rsidR="00FF743D">
        <w:instrText xml:space="preserve"> ADDIN ZOTERO_ITEM CSL_CITATION {"citationID":"zgj3Zt5v","properties":{"formattedCitation":"\\super 1\\nosupersub{}","plainCitation":"1","noteIndex":0},"citationItems":[{"id":4598,"uris":["http://zotero.org/users/9687874/items/CA7VUHV8"],"itemData":{"id":4598,"type":"article-journal","abstract":"Depression is associated with blunted reactivity to acute stress, as well as blunted responsivity to rewards. However, the extent to which responses to stress are associated with responses to reward in individuals meeting criteria for a depressive disorder is unknown. The goal of this study was to examine the relation of responses to stress and reward, and to determine if this relation is moderated by depression diagnosis, anhedonia, and sex. Participants included 114 adults (68 depressed, 46 non-depressed; 75% women) recruited from the community. Stress reactivity was operationalized as the total salivary cortisol output to the Trier Social Stress Test (TSST; Kirschbaum et al., 1993). Response bias to monetary reward was assessed following the TSST recovery period with a probabilistic reward task (PRT; Pizzagalli et al., 2005). In men only, total cortisol output during the TSST was more strongly positively associated with response bias to reward across the three blocks of the PRT. In addition, among depressed participants with high levels of anhedonia, higher cortisol output during the TSST was significantly associated with higher overall response bias to reward. We suggest that in men, the stress and reward systems may both respond quickly, and resolve rapidly, in the face of acute stress. Further, in depression, our findings suggest that anhedonia may represent a specific phenotype in which the stress and reward systems are particularly tuned together.","container-title":"Journal of Affective Disorders","DOI":"10.1016/j.jad.2021.05.126","ISSN":"0165-0327","journalAbbreviation":"Journal of Affective Disorders","language":"en","page":"1-8","source":"ScienceDirect","title":"Cortisol reactivity to stress predicts behavioral responsivity to reward moderation by sex, depression, and anhedonia","volume":"293","author":[{"family":"Cunningham","given":"Simone"},{"family":"Mazurka","given":"Raegan"},{"family":"Wynne-Edwards","given":"Katherine E."},{"family":"Milev","given":"Roumen V."},{"family":"Pizzagalli","given":"Diego A."},{"family":"Kennedy","given":"Sidney"},{"family":"Harkness","given":"Kate L."}],"issued":{"date-parts":[["2021",10,1]]}}}],"schema":"https://github.com/citation-style-language/schema/raw/master/csl-citation.json"} </w:instrText>
      </w:r>
      <w:r w:rsidRPr="007616F3">
        <w:fldChar w:fldCharType="separate"/>
      </w:r>
      <w:r w:rsidR="00FF743D" w:rsidRPr="00FF743D">
        <w:rPr>
          <w:vertAlign w:val="superscript"/>
          <w:lang w:val="en-US"/>
        </w:rPr>
        <w:t>1</w:t>
      </w:r>
      <w:r w:rsidRPr="007616F3">
        <w:fldChar w:fldCharType="end"/>
      </w:r>
      <w:r w:rsidRPr="007616F3">
        <w:t xml:space="preserve"> a total of 440 participants took part in an initial telephone screen. Of these, 83 declined to participate, 135 were not eligible, and 3 were eligible but dropped out before their first appointment. Of the remaining 219, 13 met one or more exclusionary criteria based on the full diagnostic interview and 32 had remitted from their depressive episode by the time of the first appointment. Additionally, 21 participants were excluded for missing data on one or more of the primary variables of interest in the study: not providing a blood sample for endocannabinoid </w:t>
      </w:r>
      <w:r w:rsidR="005363D8">
        <w:t>(</w:t>
      </w:r>
      <w:proofErr w:type="spellStart"/>
      <w:r w:rsidR="005363D8">
        <w:t>eCB</w:t>
      </w:r>
      <w:proofErr w:type="spellEnd"/>
      <w:r w:rsidR="005363D8">
        <w:t xml:space="preserve">) </w:t>
      </w:r>
      <w:r w:rsidRPr="007616F3">
        <w:t>quantification (</w:t>
      </w:r>
      <w:r w:rsidRPr="007616F3">
        <w:rPr>
          <w:i/>
          <w:iCs/>
        </w:rPr>
        <w:t>n</w:t>
      </w:r>
      <w:r w:rsidRPr="007616F3">
        <w:t xml:space="preserve"> = 15), mislabeled blood samples (</w:t>
      </w:r>
      <w:r w:rsidRPr="007616F3">
        <w:rPr>
          <w:i/>
          <w:iCs/>
        </w:rPr>
        <w:t>n</w:t>
      </w:r>
      <w:r w:rsidRPr="007616F3">
        <w:t xml:space="preserve"> = 1), or no/incomplete childhood maltreatment interview (</w:t>
      </w:r>
      <w:r w:rsidRPr="007616F3">
        <w:rPr>
          <w:i/>
          <w:iCs/>
        </w:rPr>
        <w:t>n</w:t>
      </w:r>
      <w:r w:rsidRPr="007616F3">
        <w:t xml:space="preserve"> = 11). There were no significant demographic differences between individuals who were included versus excluded (all </w:t>
      </w:r>
      <w:proofErr w:type="spellStart"/>
      <w:r w:rsidRPr="007616F3">
        <w:rPr>
          <w:i/>
          <w:iCs/>
        </w:rPr>
        <w:t>p</w:t>
      </w:r>
      <w:r w:rsidRPr="007616F3">
        <w:t>s</w:t>
      </w:r>
      <w:proofErr w:type="spellEnd"/>
      <w:r w:rsidRPr="007616F3">
        <w:t xml:space="preserve"> &gt; .10).</w:t>
      </w:r>
    </w:p>
    <w:p w14:paraId="795E0293" w14:textId="77777777" w:rsidR="00FA1AD9" w:rsidRPr="007616F3" w:rsidRDefault="00FA1AD9" w:rsidP="00FA1AD9">
      <w:pPr>
        <w:spacing w:line="480" w:lineRule="auto"/>
        <w:rPr>
          <w:b/>
          <w:bCs/>
        </w:rPr>
      </w:pPr>
      <w:r w:rsidRPr="007616F3">
        <w:rPr>
          <w:b/>
          <w:bCs/>
        </w:rPr>
        <w:t>Current Psychotropic Medication</w:t>
      </w:r>
    </w:p>
    <w:p w14:paraId="2695C01C" w14:textId="77777777" w:rsidR="00FA1AD9" w:rsidRPr="007616F3" w:rsidRDefault="00FA1AD9" w:rsidP="00FA1AD9">
      <w:pPr>
        <w:spacing w:line="480" w:lineRule="auto"/>
        <w:ind w:firstLine="720"/>
      </w:pPr>
      <w:r w:rsidRPr="007616F3">
        <w:t xml:space="preserve">During the clinical interview, participants were asked to report all current medications. Current psychotropic medications for the sample included amitriptyline, aripiprazole, bupropion, citalopram, clobazam, clonazepam, clonidine, desvenlafaxine, duloxetine, escitalopram, fluoxetine, gabapentin, lamotrigine, </w:t>
      </w:r>
      <w:proofErr w:type="spellStart"/>
      <w:r w:rsidRPr="007616F3">
        <w:t>lisdexamfetamine</w:t>
      </w:r>
      <w:proofErr w:type="spellEnd"/>
      <w:r w:rsidRPr="007616F3">
        <w:t>, lorazepam, methylphenidate, mirtazapine, olanzapine, oxazepam, paroxetine, pregabalin, quetiapine, risperidone, sertraline, temazepam, topiramate, trazodone, varenicline, venlafaxine, and zopiclone.</w:t>
      </w:r>
    </w:p>
    <w:p w14:paraId="6C8235BA" w14:textId="2535BFAB" w:rsidR="009E0B8C" w:rsidRDefault="009E0B8C" w:rsidP="007616F3">
      <w:pPr>
        <w:pStyle w:val="NormalWeb"/>
        <w:spacing w:before="0" w:beforeAutospacing="0" w:after="0" w:afterAutospacing="0" w:line="480" w:lineRule="auto"/>
        <w:rPr>
          <w:b/>
          <w:bCs/>
        </w:rPr>
      </w:pPr>
      <w:r>
        <w:rPr>
          <w:b/>
          <w:bCs/>
        </w:rPr>
        <w:t>Severe Childhood Maltreatment</w:t>
      </w:r>
    </w:p>
    <w:p w14:paraId="63F691AA" w14:textId="4C70D0BF" w:rsidR="009E0B8C" w:rsidRDefault="00F25F6C" w:rsidP="00F25F6C">
      <w:pPr>
        <w:pStyle w:val="NormalWeb"/>
        <w:spacing w:before="0" w:beforeAutospacing="0" w:after="0" w:afterAutospacing="0" w:line="480" w:lineRule="auto"/>
        <w:ind w:firstLine="720"/>
        <w:rPr>
          <w:b/>
          <w:bCs/>
        </w:rPr>
      </w:pPr>
      <w:r w:rsidRPr="00BE4741">
        <w:t>Childhood Experience of Care and Abuse scale</w:t>
      </w:r>
      <w:r>
        <w:t xml:space="preserve"> </w:t>
      </w:r>
      <w:r w:rsidRPr="00BE4741">
        <w:t xml:space="preserve">(CECA </w:t>
      </w:r>
      <w:r>
        <w:fldChar w:fldCharType="begin"/>
      </w:r>
      <w:r w:rsidR="00FF743D">
        <w:instrText xml:space="preserve"> ADDIN ZOTERO_ITEM CSL_CITATION {"citationID":"LJtqFNEk","properties":{"formattedCitation":"\\super 2\\nosupersub{}","plainCitation":"2","noteIndex":0},"citationItems":[{"id":47,"uris":["http://zotero.org/users/9687874/items/CQWXYLPV"],"itemData":{"id":47,"type":"article-journal","abstract":"The development of a retrospective, investigator-based interview measure of Childhood Experience of Care and Abuse (CECA) used with two community samples of adults in London is described. The component ratings are shown to have satisfactory inter-rater reliability and also validity as determined by agreement between sisters' independent accounts. The association between the different childhood scales is explored as well as the relationship of childhood experiences to adult depression. Methodological issues concerning investigator-based versus respondent-based measures of childhood are discussed and a case made for use of the former. Advantages of using the CECA, a retrospective, time-based measure of childhood, are outlined.","container-title":"Journal of Child Psychology and Psychiatry and Allied Disciplines","DOI":"https://doi.org/10.1111/j.1469-7610.1994.tb01284.x","issue":"8","page":"1419-1435","title":"Childhood experience of care and abuse (CECA): A retrospective interview measure","volume":"35","author":[{"family":"Bifulco","given":"A."},{"family":"Brown","given":"G. W."},{"family":"Harris","given":"T. O."}],"issued":{"date-parts":[["1994"]]}}}],"schema":"https://github.com/citation-style-language/schema/raw/master/csl-citation.json"} </w:instrText>
      </w:r>
      <w:r>
        <w:fldChar w:fldCharType="separate"/>
      </w:r>
      <w:r w:rsidR="00FF743D" w:rsidRPr="00FF743D">
        <w:rPr>
          <w:vertAlign w:val="superscript"/>
          <w:lang w:val="en-US"/>
        </w:rPr>
        <w:t>2</w:t>
      </w:r>
      <w:r>
        <w:fldChar w:fldCharType="end"/>
      </w:r>
      <w:r>
        <w:t>) i</w:t>
      </w:r>
      <w:r w:rsidR="009E0B8C" w:rsidRPr="0025034F">
        <w:t xml:space="preserve">nterviews were conducted by senior graduate students in clinical psychology who were trained and supervised </w:t>
      </w:r>
      <w:r w:rsidR="009E0B8C">
        <w:t xml:space="preserve">by KLH. </w:t>
      </w:r>
      <w:r w:rsidR="009E0B8C" w:rsidRPr="00EC66A6">
        <w:t xml:space="preserve">All </w:t>
      </w:r>
      <w:r w:rsidR="009E0B8C" w:rsidRPr="00EC66A6">
        <w:lastRenderedPageBreak/>
        <w:t>interviews were audio</w:t>
      </w:r>
      <w:r w:rsidR="009E0B8C">
        <w:t xml:space="preserve"> recorded</w:t>
      </w:r>
      <w:r w:rsidR="009E0B8C" w:rsidRPr="00BE4741">
        <w:t xml:space="preserve">. </w:t>
      </w:r>
      <w:r w:rsidR="009E0B8C" w:rsidRPr="00EC66A6">
        <w:t xml:space="preserve">The CECA addresses </w:t>
      </w:r>
      <w:r w:rsidR="009E0B8C">
        <w:t xml:space="preserve">concerns of subjective recall bias when using retrospective stress assessment </w:t>
      </w:r>
      <w:r w:rsidR="009E0B8C" w:rsidRPr="00EC66A6">
        <w:t>in several ways</w:t>
      </w:r>
      <w:r w:rsidR="008A1352">
        <w:t>:</w:t>
      </w:r>
      <w:r w:rsidR="009E0B8C">
        <w:fldChar w:fldCharType="begin"/>
      </w:r>
      <w:r w:rsidR="00FF743D">
        <w:instrText xml:space="preserve"> ADDIN ZOTERO_ITEM CSL_CITATION {"citationID":"xQzA49Sq","properties":{"formattedCitation":"\\super 3\\nosupersub{}","plainCitation":"3","noteIndex":0},"citationItems":[{"id":976,"uris":["http://zotero.org/users/9687874/items/PJBJB5IA"],"itemData":{"id":976,"type":"article-journal","abstract":"Life stress is a central factor in the onset and course of a wide range of medical and psychiatric conditions. Determining the precise etiological and pathological consequences of stress, though, has been hindered by weaknesses in prevailing definitional and measurement practices. The purpose of the current paper is to evaluate the primary strategies for defining and measuring major and minor acute life events, chronic stressors, and daily hassles as informed by 3 basic scientific premises. The first premise concerns the manner in which stress is conceptualized and operationally defined, and specifically we assert that stress measures must not conflate the stress exposure with the stress response. The second premise concerns how stress exposures are measured, and we provide guidelines for optimizing standardized and sensitive indicators of life stress. The third premise addresses the consequences of variations in the procedures for life event measurement with regard to the validity of the research designs employed. We show that life stress measures are susceptible to several sources of bias, and if these potential sources of bias are not controlled in the design of the research, spurious findings may result. Our goal is to provide a useful guide for researchers who consider life stress to be an important factor in their theoretical models of disease, wish to incorporate measures of life stress in their research, and seek to avoid the common pitfalls of past measurement practices.","container-title":"Journal of Abnormal Psychology","DOI":"10.1037/abn0000178","ISSN":"19391846","issue":"5","note":"PMID: 27254487","page":"727-745","title":"The assessment and measurement of adult life stress: Basic premises, operational principles, and design requirements","volume":"125","author":[{"family":"Harkness","given":"Kate L."},{"family":"Monroe","given":"Scott M."}],"issued":{"date-parts":[["2016"]]}}}],"schema":"https://github.com/citation-style-language/schema/raw/master/csl-citation.json"} </w:instrText>
      </w:r>
      <w:r w:rsidR="009E0B8C">
        <w:fldChar w:fldCharType="separate"/>
      </w:r>
      <w:r w:rsidR="00FF743D" w:rsidRPr="00FF743D">
        <w:rPr>
          <w:vertAlign w:val="superscript"/>
          <w:lang w:val="en-US"/>
        </w:rPr>
        <w:t>3</w:t>
      </w:r>
      <w:r w:rsidR="009E0B8C">
        <w:fldChar w:fldCharType="end"/>
      </w:r>
      <w:r w:rsidR="009E0B8C">
        <w:t xml:space="preserve"> Participants </w:t>
      </w:r>
      <w:r w:rsidR="009E0B8C" w:rsidRPr="00702DCF">
        <w:t>are queried about positive and negative experiences and are asked to provide behavioral and contextual details</w:t>
      </w:r>
      <w:r w:rsidR="009E0B8C">
        <w:t xml:space="preserve"> </w:t>
      </w:r>
      <w:r w:rsidR="009E0B8C" w:rsidRPr="00702DCF">
        <w:t>(e.g., frequency, chronicity, degree of injury)</w:t>
      </w:r>
      <w:r w:rsidR="009E0B8C">
        <w:t>. C</w:t>
      </w:r>
      <w:r w:rsidR="009E0B8C" w:rsidRPr="00BE4741">
        <w:t xml:space="preserve">hildhood experiences </w:t>
      </w:r>
      <w:r w:rsidR="009E0B8C">
        <w:t>are subsequently</w:t>
      </w:r>
      <w:r w:rsidR="009E0B8C" w:rsidRPr="00BE4741">
        <w:t xml:space="preserve"> rated by independent judges for severity </w:t>
      </w:r>
      <w:r w:rsidR="009E0B8C" w:rsidRPr="00547666">
        <w:t>using a detailed manual of rules and standardized exemplars to anchor ratings</w:t>
      </w:r>
      <w:r w:rsidR="008A1352">
        <w:t>.</w:t>
      </w:r>
      <w:r w:rsidR="009E0B8C">
        <w:fldChar w:fldCharType="begin"/>
      </w:r>
      <w:r w:rsidR="00FF743D">
        <w:instrText xml:space="preserve"> ADDIN ZOTERO_ITEM CSL_CITATION {"citationID":"U18mtWpE","properties":{"formattedCitation":"\\super 2\\nosupersub{}","plainCitation":"2","noteIndex":0},"citationItems":[{"id":47,"uris":["http://zotero.org/users/9687874/items/CQWXYLPV"],"itemData":{"id":47,"type":"article-journal","abstract":"The development of a retrospective, investigator-based interview measure of Childhood Experience of Care and Abuse (CECA) used with two community samples of adults in London is described. The component ratings are shown to have satisfactory inter-rater reliability and also validity as determined by agreement between sisters' independent accounts. The association between the different childhood scales is explored as well as the relationship of childhood experiences to adult depression. Methodological issues concerning investigator-based versus respondent-based measures of childhood are discussed and a case made for use of the former. Advantages of using the CECA, a retrospective, time-based measure of childhood, are outlined.","container-title":"Journal of Child Psychology and Psychiatry and Allied Disciplines","DOI":"https://doi.org/10.1111/j.1469-7610.1994.tb01284.x","issue":"8","page":"1419-1435","title":"Childhood experience of care and abuse (CECA): A retrospective interview measure","volume":"35","author":[{"family":"Bifulco","given":"A."},{"family":"Brown","given":"G. W."},{"family":"Harris","given":"T. O."}],"issued":{"date-parts":[["1994"]]}}}],"schema":"https://github.com/citation-style-language/schema/raw/master/csl-citation.json"} </w:instrText>
      </w:r>
      <w:r w:rsidR="009E0B8C">
        <w:fldChar w:fldCharType="separate"/>
      </w:r>
      <w:r w:rsidR="00FF743D" w:rsidRPr="00FF743D">
        <w:rPr>
          <w:vertAlign w:val="superscript"/>
          <w:lang w:val="en-US"/>
        </w:rPr>
        <w:t>2</w:t>
      </w:r>
      <w:r w:rsidR="009E0B8C">
        <w:fldChar w:fldCharType="end"/>
      </w:r>
      <w:r w:rsidR="009E0B8C">
        <w:t xml:space="preserve"> </w:t>
      </w:r>
      <w:r w:rsidR="009E0B8C" w:rsidRPr="00EC66A6">
        <w:t>The following scales were rated</w:t>
      </w:r>
      <w:r w:rsidR="009E0B8C">
        <w:t xml:space="preserve"> from 1-</w:t>
      </w:r>
      <w:r w:rsidR="009E0B8C" w:rsidRPr="00035816">
        <w:rPr>
          <w:i/>
          <w:iCs/>
        </w:rPr>
        <w:t>little/none</w:t>
      </w:r>
      <w:r w:rsidR="009E0B8C">
        <w:t xml:space="preserve"> to 4-</w:t>
      </w:r>
      <w:r w:rsidR="009E0B8C" w:rsidRPr="00035816">
        <w:rPr>
          <w:i/>
          <w:iCs/>
        </w:rPr>
        <w:t>marked</w:t>
      </w:r>
      <w:r w:rsidR="009E0B8C" w:rsidRPr="00EC66A6">
        <w:t xml:space="preserve">: (a) emotional maltreatment: hostility and/or criticism directed to the child by parents; (b) physical maltreatment: violence directed toward the child by parents, including, for example, slapping, kicking, hitting, or threatening with a weapon; and (c) sexual maltreatment: age-inappropriate or non-consensual sexual activity by any perpetrator. </w:t>
      </w:r>
      <w:r w:rsidR="009E0B8C">
        <w:t>‘Severe c</w:t>
      </w:r>
      <w:r w:rsidR="009E0B8C" w:rsidRPr="00BE4741">
        <w:t>hildhood maltreatment</w:t>
      </w:r>
      <w:r w:rsidR="009E0B8C">
        <w:t>’</w:t>
      </w:r>
      <w:r w:rsidR="009E0B8C" w:rsidRPr="00BE4741">
        <w:t xml:space="preserve"> was defined as the presence versus absence of any </w:t>
      </w:r>
      <w:r w:rsidR="009E0B8C">
        <w:t xml:space="preserve">of the above </w:t>
      </w:r>
      <w:r w:rsidR="009E0B8C" w:rsidRPr="00BE4741">
        <w:t>type</w:t>
      </w:r>
      <w:r w:rsidR="009E0B8C">
        <w:t>s</w:t>
      </w:r>
      <w:r w:rsidR="009E0B8C" w:rsidRPr="00BE4741">
        <w:t xml:space="preserve"> of maltreatment that received a rating of 3-</w:t>
      </w:r>
      <w:r w:rsidR="009E0B8C">
        <w:rPr>
          <w:i/>
          <w:iCs/>
        </w:rPr>
        <w:t>moderate</w:t>
      </w:r>
      <w:r w:rsidR="009E0B8C" w:rsidRPr="00BE4741">
        <w:t xml:space="preserve"> or 4-</w:t>
      </w:r>
      <w:r w:rsidR="009E0B8C">
        <w:rPr>
          <w:i/>
          <w:iCs/>
        </w:rPr>
        <w:t>marked</w:t>
      </w:r>
      <w:r w:rsidR="009E0B8C" w:rsidRPr="00BE4741">
        <w:t>.</w:t>
      </w:r>
    </w:p>
    <w:p w14:paraId="59F7ABA4" w14:textId="5A5402A6" w:rsidR="00FA1AD9" w:rsidRPr="007616F3" w:rsidRDefault="00FA1AD9" w:rsidP="007616F3">
      <w:pPr>
        <w:pStyle w:val="NormalWeb"/>
        <w:spacing w:before="0" w:beforeAutospacing="0" w:after="0" w:afterAutospacing="0" w:line="480" w:lineRule="auto"/>
        <w:rPr>
          <w:b/>
          <w:bCs/>
        </w:rPr>
      </w:pPr>
      <w:r w:rsidRPr="007616F3">
        <w:rPr>
          <w:b/>
          <w:bCs/>
        </w:rPr>
        <w:t>Hippocampal Volume</w:t>
      </w:r>
    </w:p>
    <w:p w14:paraId="0D8098A2" w14:textId="4F010047" w:rsidR="00FA1AD9" w:rsidRPr="007616F3" w:rsidRDefault="00FA1AD9" w:rsidP="007616F3">
      <w:pPr>
        <w:pStyle w:val="NormalWeb"/>
        <w:spacing w:before="0" w:beforeAutospacing="0" w:after="0" w:afterAutospacing="0" w:line="480" w:lineRule="auto"/>
        <w:ind w:firstLine="720"/>
        <w:rPr>
          <w:iCs/>
        </w:rPr>
      </w:pPr>
      <w:r w:rsidRPr="007616F3">
        <w:rPr>
          <w:b/>
          <w:bCs/>
          <w:i/>
          <w:iCs/>
        </w:rPr>
        <w:t>MRI Data Acquisition.</w:t>
      </w:r>
      <w:r w:rsidRPr="007616F3">
        <w:rPr>
          <w:i/>
          <w:iCs/>
        </w:rPr>
        <w:t xml:space="preserve"> </w:t>
      </w:r>
      <w:r w:rsidRPr="007616F3">
        <w:rPr>
          <w:iCs/>
        </w:rPr>
        <w:t xml:space="preserve">All neuroimaging data were collected on a single scanner at Queen’s University in Kingston, Ontario, Canada, using a Siemens 3.0 T MR Trim Trio Scanner. </w:t>
      </w:r>
      <w:r w:rsidRPr="007616F3">
        <w:t>Whole-brain T</w:t>
      </w:r>
      <w:r w:rsidRPr="007616F3">
        <w:rPr>
          <w:position w:val="-4"/>
          <w:vertAlign w:val="subscript"/>
        </w:rPr>
        <w:t>1</w:t>
      </w:r>
      <w:r w:rsidRPr="007616F3">
        <w:t>- weighted turbo-gradient echo sequences were acquired at 1 mm</w:t>
      </w:r>
      <w:r w:rsidRPr="007616F3">
        <w:rPr>
          <w:position w:val="8"/>
          <w:vertAlign w:val="superscript"/>
        </w:rPr>
        <w:t>3</w:t>
      </w:r>
      <w:r w:rsidRPr="007616F3">
        <w:rPr>
          <w:position w:val="8"/>
        </w:rPr>
        <w:t xml:space="preserve"> </w:t>
      </w:r>
      <w:r w:rsidRPr="007616F3">
        <w:t xml:space="preserve">resolution. Pulse sequence parameters included: repetition time (TR) = 17600–1900 </w:t>
      </w:r>
      <w:proofErr w:type="spellStart"/>
      <w:r w:rsidRPr="007616F3">
        <w:t>ms</w:t>
      </w:r>
      <w:proofErr w:type="spellEnd"/>
      <w:r w:rsidRPr="007616F3">
        <w:t xml:space="preserve">; echo time (TE) = 2.2–2.7 </w:t>
      </w:r>
      <w:proofErr w:type="spellStart"/>
      <w:r w:rsidRPr="007616F3">
        <w:t>ms</w:t>
      </w:r>
      <w:proofErr w:type="spellEnd"/>
      <w:r w:rsidRPr="007616F3">
        <w:t xml:space="preserve">; flip 15°; inversion time (TI) = 900–950 </w:t>
      </w:r>
      <w:proofErr w:type="spellStart"/>
      <w:r w:rsidRPr="007616F3">
        <w:t>ms</w:t>
      </w:r>
      <w:proofErr w:type="spellEnd"/>
      <w:r w:rsidRPr="007616F3">
        <w:t>; field of view 256 mm; matrix dimensions 220 × 220 and 256 × 256; contiguous slices at 1mm thickness. A vitamin E pill was used as a stereotactic marker and placed on the right side of the participant’s head. CAN-BIND neuroimaging acquisition, quality control and quality assurance protocols have been described in detail</w:t>
      </w:r>
      <w:r w:rsidR="008A1352">
        <w:t>.</w:t>
      </w:r>
      <w:r w:rsidRPr="007616F3">
        <w:fldChar w:fldCharType="begin" w:fldLock="1"/>
      </w:r>
      <w:r w:rsidR="00FF743D">
        <w:instrText xml:space="preserve"> ADDIN ZOTERO_ITEM CSL_CITATION {"citationID":"QSQqcNok","properties":{"formattedCitation":"\\super 4\\nosupersub{}","plainCitation":"4","noteIndex":0},"citationItems":[{"id":"KE8jcKf0/I9MBux6e","uris":["http://www.mendeley.com/documents/?uuid=9e205291-7249-44e8-aa67-35fd3d6c8c2b"],"itemData":{"DOI":"10.1503/jpn.180036","ISSN":"11804882","PMID":"30840428","abstract":"Studies of clinical populations that combine MRI data generated at multiple sites are increasingly common. The Canadian Biomarker Integration Network in Depression (CAN-BIND; www.canbind.ca) is a national depression research program that includes multimodal neuroimaging collected at several sites across Canada. The purpose of the current paper is to provide detailed information on the imaging protocols used in a number of CAN-BIND studies. The CAN-BIND program implemented a series of platform-specific MRI protocols, including a suite of prescribed structural and functional MRI sequences supported by real-time monitoring for adherence and quality control. The imaging data are retained in an established informatics and databasing platform. Approximately 1300 participants are being recruited, including almost 1000 with depression. These include participants treated with antidepressant medications, transcranial magnetic stimulation, cognitive behavioural therapy and cognitive remediation therapy. Our ability to analyze the large number of imaging variables available may be limited by the sample size of the substudies. The CAN-BIND program includes a multimodal imaging database supported by extensive clinical, demographic, neuropsychological and biological data from people with major depression. It is a resource for Canadian investigators who are interested in understanding whether aspects of neuroimaging — alone or in combination with other variables — can predict the outcomes of various treatment modalities.","author":[{"dropping-particle":"","family":"MacQueen","given":"Glenda M.","non-dropping-particle":"","parse-names":false,"suffix":""},{"dropping-particle":"","family":"Hassel","given":"Stefanie","non-dropping-particle":"","parse-names":false,"suffix":""},{"dropping-particle":"","family":"Arnott","given":"Stephen R.","non-dropping-particle":"","parse-names":false,"suffix":""},{"dropping-particle":"","family":"Addington","given":"Jean","non-dropping-particle":"","parse-names":false,"suffix":""},{"dropping-particle":"","family":"Bowie","given":"Christopher R.","non-dropping-particle":"","parse-names":false,"suffix":""},{"dropping-particle":"","family":"Bray","given":"Signe L.","non-dropping-particle":"","parse-names":false,"suffix":""},{"dropping-particle":"","family":"Davis","given":"Andrew D.","non-dropping-particle":"","parse-names":false,"suffix":""},{"dropping-particle":"","family":"Downar","given":"Jonathan","non-dropping-particle":"","parse-names":false,"suffix":""},{"dropping-particle":"","family":"Foster","given":"Jane A.","non-dropping-particle":"","parse-names":false,"suffix":""},{"dropping-particle":"","family":"Frey","given":"Benicio N.","non-dropping-particle":"","parse-names":false,"suffix":""},{"dropping-particle":"","family":"Goldstein","given":"Benjamin I.","non-dropping-particle":"","parse-names":false,"suffix":""},{"dropping-particle":"","family":"Hall","given":"Geoffrey B.","non-dropping-particle":"","parse-names":false,"suffix":""},{"dropping-particle":"","family":"Harkness","given":"Kate L.","non-dropping-particle":"","parse-names":false,"suffix":""},{"dropping-particle":"","family":"Harris","given":"Jacqueline","non-dropping-particle":"","parse-names":false,"suffix":""},{"dropping-particle":"","family":"Lam","given":"Raymond W.","non-dropping-particle":"","parse-names":false,"suffix":""},{"dropping-particle":"","family":"Lebel","given":"Catherine","non-dropping-particle":"","parse-names":false,"suffix":""},{"dropping-particle":"","family":"Milev","given":"Roumen","non-dropping-particle":"","parse-names":false,"suffix":""},{"dropping-particle":"","family":"Müller","given":"Daniel J.","non-dropping-particle":"","parse-names":false,"suffix":""},{"dropping-particle":"V.","family":"Parikh","given":"Sagar","non-dropping-particle":"","parse-names":false,"suffix":""},{"dropping-particle":"","family":"Rizvi","given":"Sakina","non-dropping-particle":"","parse-names":false,"suffix":""},{"dropping-particle":"","family":"Rotzinger","given":"Susan","non-dropping-particle":"","parse-names":false,"suffix":""},{"dropping-particle":"","family":"Sharma","given":"Gulshan B.","non-dropping-particle":"","parse-names":false,"suffix":""},{"dropping-particle":"","family":"Soares","given":"Claudio N.","non-dropping-particle":"","parse-names":false,"suffix":""},{"dropping-particle":"","family":"Turecki","given":"Gustavo","non-dropping-particle":"","parse-names":false,"suffix":""},{"dropping-particle":"","family":"`Vila-Rodriguez","given":"Fidel","non-dropping-particle":"","parse-names":false,"suffix":""},{"dropping-particle":"","family":"Yu","given":"Joanna","non-dropping-particle":"","parse-names":false,"suffix":""},{"dropping-particle":"","family":"Zamyadi","given":"Mojdeh","non-dropping-particle":"","parse-names":false,"suffix":""},{"dropping-particle":"","family":"Strother","given":"Stephen C.","non-dropping-particle":"","parse-names":false,"suffix":""},{"dropping-particle":"","family":"Kennedy","given":"Sidney H.","non-dropping-particle":"","parse-names":false,"suffix":""}],"container-title":"Journal of Psychiatry and Neuroscience","id":"ITEM-1","issue":"4","issued":{"date-parts":[["2019","7","1"]]},"page":"223-236","title":"The Canadian Biomarker Integration Network in Depression (CAN-BIND): magnetic resonance imaging protocols","type":"article-journal","volume":"44"}}],"schema":"https://github.com/citation-style-language/schema/raw/master/csl-citation.json"} </w:instrText>
      </w:r>
      <w:r w:rsidRPr="007616F3">
        <w:fldChar w:fldCharType="separate"/>
      </w:r>
      <w:r w:rsidR="00FF743D" w:rsidRPr="00FF743D">
        <w:rPr>
          <w:vertAlign w:val="superscript"/>
          <w:lang w:val="en-US"/>
        </w:rPr>
        <w:t>4</w:t>
      </w:r>
      <w:r w:rsidRPr="007616F3">
        <w:fldChar w:fldCharType="end"/>
      </w:r>
    </w:p>
    <w:p w14:paraId="196C4177" w14:textId="402921F6" w:rsidR="00FA1AD9" w:rsidRPr="007616F3" w:rsidRDefault="00FA1AD9" w:rsidP="00FA1AD9">
      <w:pPr>
        <w:spacing w:line="480" w:lineRule="auto"/>
        <w:rPr>
          <w:b/>
          <w:bCs/>
        </w:rPr>
      </w:pPr>
      <w:r w:rsidRPr="007616F3">
        <w:rPr>
          <w:b/>
          <w:bCs/>
        </w:rPr>
        <w:t xml:space="preserve">Endocannabinoid </w:t>
      </w:r>
      <w:r w:rsidR="005363D8">
        <w:rPr>
          <w:b/>
          <w:bCs/>
        </w:rPr>
        <w:t>(</w:t>
      </w:r>
      <w:proofErr w:type="spellStart"/>
      <w:r w:rsidR="005363D8">
        <w:rPr>
          <w:b/>
          <w:bCs/>
        </w:rPr>
        <w:t>eCB</w:t>
      </w:r>
      <w:proofErr w:type="spellEnd"/>
      <w:r w:rsidR="005363D8">
        <w:rPr>
          <w:b/>
          <w:bCs/>
        </w:rPr>
        <w:t xml:space="preserve">) </w:t>
      </w:r>
      <w:r w:rsidR="00AA40E0">
        <w:rPr>
          <w:b/>
          <w:bCs/>
        </w:rPr>
        <w:t>Sampling</w:t>
      </w:r>
    </w:p>
    <w:p w14:paraId="69183810" w14:textId="5431F3F0" w:rsidR="00FA1AD9" w:rsidRPr="007616F3" w:rsidRDefault="00FA1AD9" w:rsidP="00FA1AD9">
      <w:pPr>
        <w:spacing w:line="480" w:lineRule="auto"/>
        <w:ind w:firstLine="720"/>
      </w:pPr>
      <w:r w:rsidRPr="007616F3">
        <w:lastRenderedPageBreak/>
        <w:t>We followed the CAN-BIND Standard Operating Procedures manual for biospecimen collection, processing, and shipping. In short,</w:t>
      </w:r>
      <w:r w:rsidR="00AA40E0">
        <w:t xml:space="preserve"> non-fasting</w:t>
      </w:r>
      <w:r w:rsidRPr="007616F3">
        <w:t xml:space="preserve"> blood samples were collected in EDTA Vacutainer Tubes by a trained phlebotomist and immediately transferred to cold storage. </w:t>
      </w:r>
      <w:r w:rsidR="00D75266">
        <w:t>Plasma</w:t>
      </w:r>
      <w:r w:rsidRPr="007616F3">
        <w:t xml:space="preserve"> samples were sent to author GT’s lab at the Douglas Hospital Research Centre for storage prior to shipping to author NS’s lab at Linköping University for </w:t>
      </w:r>
      <w:proofErr w:type="spellStart"/>
      <w:r w:rsidR="005363D8">
        <w:t>eCB</w:t>
      </w:r>
      <w:proofErr w:type="spellEnd"/>
      <w:r w:rsidRPr="007616F3">
        <w:t xml:space="preserve"> quantification.  </w:t>
      </w:r>
    </w:p>
    <w:p w14:paraId="612BA2BD" w14:textId="77777777" w:rsidR="00FA1AD9" w:rsidRPr="007616F3" w:rsidRDefault="00FA1AD9" w:rsidP="00FA1AD9">
      <w:pPr>
        <w:spacing w:line="480" w:lineRule="auto"/>
      </w:pPr>
    </w:p>
    <w:p w14:paraId="620F2033" w14:textId="77777777" w:rsidR="00FA1AD9" w:rsidRPr="007616F3" w:rsidRDefault="00FA1AD9" w:rsidP="00FA1AD9">
      <w:pPr>
        <w:spacing w:line="480" w:lineRule="auto"/>
        <w:jc w:val="center"/>
        <w:rPr>
          <w:b/>
          <w:bCs/>
        </w:rPr>
      </w:pPr>
      <w:r w:rsidRPr="007616F3">
        <w:rPr>
          <w:b/>
          <w:bCs/>
        </w:rPr>
        <w:t>Supplementary Results</w:t>
      </w:r>
    </w:p>
    <w:tbl>
      <w:tblPr>
        <w:tblpPr w:leftFromText="180" w:rightFromText="180" w:vertAnchor="text" w:tblpY="1"/>
        <w:tblOverlap w:val="never"/>
        <w:tblW w:w="7870" w:type="dxa"/>
        <w:tblLook w:val="04A0" w:firstRow="1" w:lastRow="0" w:firstColumn="1" w:lastColumn="0" w:noHBand="0" w:noVBand="1"/>
      </w:tblPr>
      <w:tblGrid>
        <w:gridCol w:w="3119"/>
        <w:gridCol w:w="1327"/>
        <w:gridCol w:w="1280"/>
        <w:gridCol w:w="2144"/>
      </w:tblGrid>
      <w:tr w:rsidR="00AA40E0" w:rsidRPr="00D63DC0" w14:paraId="071F6385" w14:textId="77777777" w:rsidTr="009B732A">
        <w:trPr>
          <w:trHeight w:val="300"/>
        </w:trPr>
        <w:tc>
          <w:tcPr>
            <w:tcW w:w="7870" w:type="dxa"/>
            <w:gridSpan w:val="4"/>
            <w:tcBorders>
              <w:left w:val="nil"/>
              <w:bottom w:val="single" w:sz="4" w:space="0" w:color="auto"/>
              <w:right w:val="nil"/>
            </w:tcBorders>
            <w:shd w:val="clear" w:color="auto" w:fill="auto"/>
            <w:noWrap/>
            <w:vAlign w:val="center"/>
          </w:tcPr>
          <w:p w14:paraId="64D62A3D" w14:textId="2BCA2D9F" w:rsidR="00AA40E0" w:rsidRPr="00D63DC0" w:rsidRDefault="00AA40E0" w:rsidP="009B732A">
            <w:pPr>
              <w:rPr>
                <w:b/>
                <w:bCs/>
                <w:color w:val="000000"/>
                <w:sz w:val="20"/>
                <w:szCs w:val="20"/>
              </w:rPr>
            </w:pPr>
            <w:r>
              <w:rPr>
                <w:b/>
                <w:bCs/>
                <w:color w:val="000000"/>
                <w:sz w:val="20"/>
                <w:szCs w:val="20"/>
              </w:rPr>
              <w:t xml:space="preserve">Supplement </w:t>
            </w:r>
            <w:r w:rsidRPr="00D63DC0">
              <w:rPr>
                <w:b/>
                <w:bCs/>
                <w:color w:val="000000"/>
                <w:sz w:val="20"/>
                <w:szCs w:val="20"/>
              </w:rPr>
              <w:t>Table 1. Demographic and Clinical Characteristics</w:t>
            </w:r>
            <w:r>
              <w:rPr>
                <w:b/>
                <w:bCs/>
                <w:color w:val="000000"/>
                <w:sz w:val="20"/>
                <w:szCs w:val="20"/>
              </w:rPr>
              <w:t xml:space="preserve"> for MDD Participants</w:t>
            </w:r>
            <w:r w:rsidRPr="00D63DC0">
              <w:rPr>
                <w:b/>
                <w:bCs/>
                <w:color w:val="000000"/>
                <w:sz w:val="20"/>
                <w:szCs w:val="20"/>
              </w:rPr>
              <w:t xml:space="preserve"> Stratified by </w:t>
            </w:r>
            <w:r>
              <w:rPr>
                <w:b/>
                <w:bCs/>
                <w:color w:val="000000"/>
                <w:sz w:val="20"/>
                <w:szCs w:val="20"/>
              </w:rPr>
              <w:t>Medication Status</w:t>
            </w:r>
          </w:p>
        </w:tc>
      </w:tr>
      <w:tr w:rsidR="00AA40E0" w:rsidRPr="00D63DC0" w14:paraId="35C7795C" w14:textId="77777777" w:rsidTr="009B732A">
        <w:trPr>
          <w:trHeight w:val="300"/>
        </w:trPr>
        <w:tc>
          <w:tcPr>
            <w:tcW w:w="3119" w:type="dxa"/>
            <w:tcBorders>
              <w:top w:val="single" w:sz="4" w:space="0" w:color="auto"/>
              <w:left w:val="nil"/>
              <w:bottom w:val="single" w:sz="8" w:space="0" w:color="auto"/>
              <w:right w:val="nil"/>
            </w:tcBorders>
            <w:shd w:val="clear" w:color="auto" w:fill="auto"/>
            <w:noWrap/>
            <w:vAlign w:val="center"/>
            <w:hideMark/>
          </w:tcPr>
          <w:p w14:paraId="3D3A8ECA" w14:textId="77777777" w:rsidR="00AA40E0" w:rsidRPr="00D63DC0" w:rsidRDefault="00AA40E0" w:rsidP="009B732A">
            <w:pPr>
              <w:rPr>
                <w:rFonts w:ascii="Calibri" w:hAnsi="Calibri" w:cs="Calibri"/>
                <w:color w:val="000000"/>
                <w:sz w:val="20"/>
                <w:szCs w:val="20"/>
              </w:rPr>
            </w:pPr>
            <w:r w:rsidRPr="00D63DC0">
              <w:rPr>
                <w:rFonts w:ascii="Calibri" w:hAnsi="Calibri" w:cs="Calibri"/>
                <w:color w:val="000000"/>
                <w:sz w:val="20"/>
                <w:szCs w:val="20"/>
              </w:rPr>
              <w:t> </w:t>
            </w:r>
          </w:p>
        </w:tc>
        <w:tc>
          <w:tcPr>
            <w:tcW w:w="2607" w:type="dxa"/>
            <w:gridSpan w:val="2"/>
            <w:tcBorders>
              <w:top w:val="single" w:sz="4" w:space="0" w:color="auto"/>
              <w:left w:val="nil"/>
              <w:bottom w:val="single" w:sz="8" w:space="0" w:color="auto"/>
              <w:right w:val="nil"/>
            </w:tcBorders>
            <w:shd w:val="clear" w:color="auto" w:fill="auto"/>
            <w:noWrap/>
            <w:vAlign w:val="center"/>
            <w:hideMark/>
          </w:tcPr>
          <w:p w14:paraId="0A84BE5E" w14:textId="77777777" w:rsidR="00AA40E0" w:rsidRDefault="00AA40E0" w:rsidP="009B732A">
            <w:pPr>
              <w:jc w:val="center"/>
              <w:rPr>
                <w:b/>
                <w:bCs/>
                <w:color w:val="000000"/>
                <w:sz w:val="20"/>
                <w:szCs w:val="20"/>
              </w:rPr>
            </w:pPr>
            <w:r>
              <w:rPr>
                <w:b/>
                <w:bCs/>
                <w:color w:val="000000"/>
                <w:sz w:val="20"/>
                <w:szCs w:val="20"/>
              </w:rPr>
              <w:t>MDD</w:t>
            </w:r>
          </w:p>
          <w:p w14:paraId="2187CD9A" w14:textId="77777777" w:rsidR="00AA40E0" w:rsidRPr="00D63DC0" w:rsidRDefault="00AA40E0" w:rsidP="009B732A">
            <w:pPr>
              <w:jc w:val="center"/>
              <w:rPr>
                <w:b/>
                <w:bCs/>
                <w:color w:val="000000"/>
                <w:sz w:val="20"/>
                <w:szCs w:val="20"/>
              </w:rPr>
            </w:pPr>
            <w:r w:rsidRPr="00D63DC0">
              <w:rPr>
                <w:b/>
                <w:bCs/>
                <w:color w:val="000000"/>
                <w:sz w:val="20"/>
                <w:szCs w:val="20"/>
              </w:rPr>
              <w:t>(</w:t>
            </w:r>
            <w:r w:rsidRPr="00D63DC0">
              <w:rPr>
                <w:b/>
                <w:bCs/>
                <w:i/>
                <w:iCs/>
                <w:color w:val="000000"/>
                <w:sz w:val="20"/>
                <w:szCs w:val="20"/>
              </w:rPr>
              <w:t>n</w:t>
            </w:r>
            <w:r w:rsidRPr="00D63DC0">
              <w:rPr>
                <w:b/>
                <w:bCs/>
                <w:color w:val="000000"/>
                <w:sz w:val="20"/>
                <w:szCs w:val="20"/>
              </w:rPr>
              <w:t xml:space="preserve"> = 91)</w:t>
            </w:r>
          </w:p>
        </w:tc>
        <w:tc>
          <w:tcPr>
            <w:tcW w:w="2144" w:type="dxa"/>
            <w:tcBorders>
              <w:top w:val="single" w:sz="4" w:space="0" w:color="auto"/>
              <w:left w:val="nil"/>
              <w:bottom w:val="single" w:sz="8" w:space="0" w:color="auto"/>
              <w:right w:val="nil"/>
            </w:tcBorders>
            <w:shd w:val="clear" w:color="auto" w:fill="auto"/>
            <w:noWrap/>
            <w:vAlign w:val="center"/>
            <w:hideMark/>
          </w:tcPr>
          <w:p w14:paraId="5FDCD440" w14:textId="77777777" w:rsidR="00AA40E0" w:rsidRPr="00D63DC0" w:rsidRDefault="00AA40E0" w:rsidP="009B732A">
            <w:pPr>
              <w:jc w:val="center"/>
              <w:rPr>
                <w:b/>
                <w:bCs/>
                <w:color w:val="000000"/>
                <w:sz w:val="20"/>
                <w:szCs w:val="20"/>
              </w:rPr>
            </w:pPr>
            <w:r w:rsidRPr="00D63DC0">
              <w:rPr>
                <w:b/>
                <w:bCs/>
                <w:color w:val="000000"/>
                <w:sz w:val="20"/>
                <w:szCs w:val="20"/>
              </w:rPr>
              <w:t>Statistic</w:t>
            </w:r>
          </w:p>
        </w:tc>
      </w:tr>
      <w:tr w:rsidR="00AA40E0" w:rsidRPr="00D63DC0" w14:paraId="5235B001" w14:textId="77777777" w:rsidTr="009B732A">
        <w:trPr>
          <w:trHeight w:val="840"/>
        </w:trPr>
        <w:tc>
          <w:tcPr>
            <w:tcW w:w="3119" w:type="dxa"/>
            <w:vMerge w:val="restart"/>
            <w:tcBorders>
              <w:top w:val="nil"/>
              <w:left w:val="nil"/>
              <w:bottom w:val="single" w:sz="8" w:space="0" w:color="000000"/>
              <w:right w:val="nil"/>
            </w:tcBorders>
            <w:shd w:val="clear" w:color="auto" w:fill="auto"/>
            <w:noWrap/>
            <w:vAlign w:val="center"/>
            <w:hideMark/>
          </w:tcPr>
          <w:p w14:paraId="40879DA8" w14:textId="77777777" w:rsidR="00AA40E0" w:rsidRPr="00D63DC0" w:rsidRDefault="00AA40E0" w:rsidP="009B732A">
            <w:pPr>
              <w:jc w:val="center"/>
              <w:rPr>
                <w:color w:val="000000"/>
                <w:sz w:val="20"/>
                <w:szCs w:val="20"/>
              </w:rPr>
            </w:pPr>
          </w:p>
        </w:tc>
        <w:tc>
          <w:tcPr>
            <w:tcW w:w="1327" w:type="dxa"/>
            <w:tcBorders>
              <w:top w:val="nil"/>
              <w:left w:val="nil"/>
              <w:bottom w:val="nil"/>
              <w:right w:val="nil"/>
            </w:tcBorders>
            <w:shd w:val="clear" w:color="auto" w:fill="auto"/>
            <w:vAlign w:val="center"/>
            <w:hideMark/>
          </w:tcPr>
          <w:p w14:paraId="2DB80AB4" w14:textId="62830346" w:rsidR="00AA40E0" w:rsidRPr="00D63DC0" w:rsidRDefault="00AA40E0" w:rsidP="009B732A">
            <w:pPr>
              <w:jc w:val="center"/>
              <w:rPr>
                <w:b/>
                <w:bCs/>
                <w:color w:val="000000"/>
                <w:sz w:val="20"/>
                <w:szCs w:val="20"/>
              </w:rPr>
            </w:pPr>
            <w:r w:rsidRPr="00D63DC0">
              <w:rPr>
                <w:b/>
                <w:bCs/>
                <w:color w:val="000000"/>
                <w:sz w:val="20"/>
                <w:szCs w:val="20"/>
              </w:rPr>
              <w:t xml:space="preserve"> </w:t>
            </w:r>
            <w:r>
              <w:rPr>
                <w:b/>
                <w:bCs/>
                <w:color w:val="000000"/>
                <w:sz w:val="20"/>
                <w:szCs w:val="20"/>
              </w:rPr>
              <w:t>Current Psychotropic Medication</w:t>
            </w:r>
          </w:p>
        </w:tc>
        <w:tc>
          <w:tcPr>
            <w:tcW w:w="1280" w:type="dxa"/>
            <w:tcBorders>
              <w:top w:val="nil"/>
              <w:left w:val="nil"/>
              <w:bottom w:val="nil"/>
              <w:right w:val="nil"/>
            </w:tcBorders>
            <w:shd w:val="clear" w:color="auto" w:fill="auto"/>
            <w:vAlign w:val="center"/>
            <w:hideMark/>
          </w:tcPr>
          <w:p w14:paraId="18771B83" w14:textId="1099E0E0" w:rsidR="00AA40E0" w:rsidRPr="00D63DC0" w:rsidRDefault="00AA40E0" w:rsidP="009B732A">
            <w:pPr>
              <w:jc w:val="center"/>
              <w:rPr>
                <w:b/>
                <w:bCs/>
                <w:color w:val="000000"/>
                <w:sz w:val="20"/>
                <w:szCs w:val="20"/>
              </w:rPr>
            </w:pPr>
            <w:r>
              <w:rPr>
                <w:b/>
                <w:bCs/>
                <w:color w:val="000000"/>
                <w:sz w:val="20"/>
                <w:szCs w:val="20"/>
              </w:rPr>
              <w:t>Medication Free</w:t>
            </w:r>
          </w:p>
        </w:tc>
        <w:tc>
          <w:tcPr>
            <w:tcW w:w="2144" w:type="dxa"/>
            <w:tcBorders>
              <w:top w:val="nil"/>
              <w:left w:val="nil"/>
              <w:bottom w:val="nil"/>
              <w:right w:val="nil"/>
            </w:tcBorders>
            <w:shd w:val="clear" w:color="auto" w:fill="auto"/>
            <w:vAlign w:val="center"/>
            <w:hideMark/>
          </w:tcPr>
          <w:p w14:paraId="75F4FA5D" w14:textId="7486B1D6" w:rsidR="00AA40E0" w:rsidRPr="00D63DC0" w:rsidRDefault="0010692A" w:rsidP="009B732A">
            <w:pPr>
              <w:jc w:val="center"/>
              <w:rPr>
                <w:b/>
                <w:bCs/>
                <w:color w:val="000000"/>
                <w:sz w:val="20"/>
                <w:szCs w:val="20"/>
              </w:rPr>
            </w:pPr>
            <w:r>
              <w:rPr>
                <w:b/>
                <w:bCs/>
                <w:i/>
                <w:iCs/>
                <w:color w:val="000000"/>
                <w:sz w:val="20"/>
                <w:szCs w:val="20"/>
              </w:rPr>
              <w:t>t</w:t>
            </w:r>
            <w:r w:rsidR="00AA40E0" w:rsidRPr="00D63DC0">
              <w:rPr>
                <w:b/>
                <w:bCs/>
                <w:color w:val="000000"/>
                <w:sz w:val="20"/>
                <w:szCs w:val="20"/>
              </w:rPr>
              <w:t xml:space="preserve"> or</w:t>
            </w:r>
            <w:r w:rsidR="00AA40E0" w:rsidRPr="00D63DC0">
              <w:rPr>
                <w:b/>
                <w:bCs/>
                <w:i/>
                <w:iCs/>
                <w:color w:val="000000"/>
                <w:sz w:val="20"/>
                <w:szCs w:val="20"/>
              </w:rPr>
              <w:t xml:space="preserve"> X</w:t>
            </w:r>
            <w:r w:rsidR="00AA40E0" w:rsidRPr="00D63DC0">
              <w:rPr>
                <w:b/>
                <w:bCs/>
                <w:color w:val="000000"/>
                <w:sz w:val="20"/>
                <w:szCs w:val="20"/>
                <w:vertAlign w:val="superscript"/>
              </w:rPr>
              <w:t>2</w:t>
            </w:r>
          </w:p>
        </w:tc>
      </w:tr>
      <w:tr w:rsidR="00AA40E0" w:rsidRPr="00D63DC0" w14:paraId="4F18CCC5" w14:textId="77777777" w:rsidTr="009B732A">
        <w:trPr>
          <w:trHeight w:val="300"/>
        </w:trPr>
        <w:tc>
          <w:tcPr>
            <w:tcW w:w="3119" w:type="dxa"/>
            <w:vMerge/>
            <w:tcBorders>
              <w:top w:val="nil"/>
              <w:left w:val="nil"/>
              <w:bottom w:val="single" w:sz="8" w:space="0" w:color="000000"/>
              <w:right w:val="nil"/>
            </w:tcBorders>
            <w:vAlign w:val="center"/>
            <w:hideMark/>
          </w:tcPr>
          <w:p w14:paraId="70ADF7B1" w14:textId="77777777" w:rsidR="00AA40E0" w:rsidRPr="00D63DC0" w:rsidRDefault="00AA40E0" w:rsidP="009B732A">
            <w:pPr>
              <w:rPr>
                <w:color w:val="000000"/>
                <w:sz w:val="20"/>
                <w:szCs w:val="20"/>
              </w:rPr>
            </w:pPr>
          </w:p>
        </w:tc>
        <w:tc>
          <w:tcPr>
            <w:tcW w:w="1327" w:type="dxa"/>
            <w:tcBorders>
              <w:top w:val="nil"/>
              <w:left w:val="nil"/>
              <w:bottom w:val="single" w:sz="8" w:space="0" w:color="auto"/>
              <w:right w:val="nil"/>
            </w:tcBorders>
            <w:shd w:val="clear" w:color="auto" w:fill="auto"/>
            <w:vAlign w:val="center"/>
            <w:hideMark/>
          </w:tcPr>
          <w:p w14:paraId="5D043FA1" w14:textId="60A1B891" w:rsidR="00AA40E0" w:rsidRPr="00D63DC0" w:rsidRDefault="00AA40E0" w:rsidP="009B732A">
            <w:pPr>
              <w:jc w:val="center"/>
              <w:rPr>
                <w:b/>
                <w:bCs/>
                <w:color w:val="000000"/>
                <w:sz w:val="20"/>
                <w:szCs w:val="20"/>
              </w:rPr>
            </w:pPr>
            <w:r w:rsidRPr="00D63DC0">
              <w:rPr>
                <w:b/>
                <w:bCs/>
                <w:color w:val="000000"/>
                <w:sz w:val="20"/>
                <w:szCs w:val="20"/>
              </w:rPr>
              <w:t>(</w:t>
            </w:r>
            <w:r w:rsidRPr="00D63DC0">
              <w:rPr>
                <w:b/>
                <w:bCs/>
                <w:i/>
                <w:iCs/>
                <w:color w:val="000000"/>
                <w:sz w:val="20"/>
                <w:szCs w:val="20"/>
              </w:rPr>
              <w:t>n</w:t>
            </w:r>
            <w:r w:rsidRPr="00D63DC0">
              <w:rPr>
                <w:b/>
                <w:bCs/>
                <w:color w:val="000000"/>
                <w:sz w:val="20"/>
                <w:szCs w:val="20"/>
              </w:rPr>
              <w:t xml:space="preserve"> = 5</w:t>
            </w:r>
            <w:r w:rsidR="0010692A">
              <w:rPr>
                <w:b/>
                <w:bCs/>
                <w:color w:val="000000"/>
                <w:sz w:val="20"/>
                <w:szCs w:val="20"/>
              </w:rPr>
              <w:t>5</w:t>
            </w:r>
            <w:r w:rsidRPr="00D63DC0">
              <w:rPr>
                <w:b/>
                <w:bCs/>
                <w:color w:val="000000"/>
                <w:sz w:val="20"/>
                <w:szCs w:val="20"/>
              </w:rPr>
              <w:t>)</w:t>
            </w:r>
          </w:p>
        </w:tc>
        <w:tc>
          <w:tcPr>
            <w:tcW w:w="1280" w:type="dxa"/>
            <w:tcBorders>
              <w:top w:val="nil"/>
              <w:left w:val="nil"/>
              <w:bottom w:val="single" w:sz="8" w:space="0" w:color="auto"/>
              <w:right w:val="nil"/>
            </w:tcBorders>
            <w:shd w:val="clear" w:color="auto" w:fill="auto"/>
            <w:vAlign w:val="center"/>
            <w:hideMark/>
          </w:tcPr>
          <w:p w14:paraId="0709E6C6" w14:textId="3CFF4104" w:rsidR="00AA40E0" w:rsidRPr="00D63DC0" w:rsidRDefault="00AA40E0" w:rsidP="009B732A">
            <w:pPr>
              <w:jc w:val="center"/>
              <w:rPr>
                <w:b/>
                <w:bCs/>
                <w:color w:val="000000"/>
                <w:sz w:val="20"/>
                <w:szCs w:val="20"/>
              </w:rPr>
            </w:pPr>
            <w:r w:rsidRPr="00D63DC0">
              <w:rPr>
                <w:b/>
                <w:bCs/>
                <w:color w:val="000000"/>
                <w:sz w:val="20"/>
                <w:szCs w:val="20"/>
              </w:rPr>
              <w:t>(</w:t>
            </w:r>
            <w:r w:rsidRPr="00D63DC0">
              <w:rPr>
                <w:b/>
                <w:bCs/>
                <w:i/>
                <w:iCs/>
                <w:color w:val="000000"/>
                <w:sz w:val="20"/>
                <w:szCs w:val="20"/>
              </w:rPr>
              <w:t>n</w:t>
            </w:r>
            <w:r w:rsidRPr="00D63DC0">
              <w:rPr>
                <w:b/>
                <w:bCs/>
                <w:color w:val="000000"/>
                <w:sz w:val="20"/>
                <w:szCs w:val="20"/>
              </w:rPr>
              <w:t xml:space="preserve"> = </w:t>
            </w:r>
            <w:r w:rsidR="0010692A">
              <w:rPr>
                <w:b/>
                <w:bCs/>
                <w:color w:val="000000"/>
                <w:sz w:val="20"/>
                <w:szCs w:val="20"/>
              </w:rPr>
              <w:t>36</w:t>
            </w:r>
            <w:r w:rsidRPr="00D63DC0">
              <w:rPr>
                <w:b/>
                <w:bCs/>
                <w:color w:val="000000"/>
                <w:sz w:val="20"/>
                <w:szCs w:val="20"/>
              </w:rPr>
              <w:t>)</w:t>
            </w:r>
          </w:p>
        </w:tc>
        <w:tc>
          <w:tcPr>
            <w:tcW w:w="2144" w:type="dxa"/>
            <w:tcBorders>
              <w:top w:val="nil"/>
              <w:left w:val="nil"/>
              <w:bottom w:val="single" w:sz="8" w:space="0" w:color="auto"/>
              <w:right w:val="nil"/>
            </w:tcBorders>
            <w:shd w:val="clear" w:color="auto" w:fill="auto"/>
            <w:vAlign w:val="center"/>
            <w:hideMark/>
          </w:tcPr>
          <w:p w14:paraId="2A13A7CA" w14:textId="77777777" w:rsidR="00AA40E0" w:rsidRPr="00D63DC0" w:rsidRDefault="00AA40E0" w:rsidP="009B732A">
            <w:pPr>
              <w:jc w:val="center"/>
              <w:rPr>
                <w:b/>
                <w:bCs/>
                <w:color w:val="000000"/>
                <w:sz w:val="20"/>
                <w:szCs w:val="20"/>
              </w:rPr>
            </w:pPr>
            <w:r w:rsidRPr="00D63DC0">
              <w:rPr>
                <w:b/>
                <w:bCs/>
                <w:color w:val="000000"/>
                <w:sz w:val="20"/>
                <w:szCs w:val="20"/>
              </w:rPr>
              <w:t> </w:t>
            </w:r>
          </w:p>
        </w:tc>
      </w:tr>
      <w:tr w:rsidR="00AA40E0" w:rsidRPr="00D63DC0" w14:paraId="32F55278" w14:textId="77777777" w:rsidTr="009B732A">
        <w:trPr>
          <w:trHeight w:val="260"/>
        </w:trPr>
        <w:tc>
          <w:tcPr>
            <w:tcW w:w="3119" w:type="dxa"/>
            <w:tcBorders>
              <w:top w:val="nil"/>
              <w:left w:val="nil"/>
              <w:bottom w:val="nil"/>
              <w:right w:val="nil"/>
            </w:tcBorders>
            <w:shd w:val="clear" w:color="auto" w:fill="auto"/>
            <w:noWrap/>
            <w:vAlign w:val="center"/>
            <w:hideMark/>
          </w:tcPr>
          <w:p w14:paraId="057479FC" w14:textId="77777777" w:rsidR="00AA40E0" w:rsidRPr="00D63DC0" w:rsidRDefault="00AA40E0" w:rsidP="009B732A">
            <w:pPr>
              <w:rPr>
                <w:color w:val="000000"/>
                <w:sz w:val="20"/>
                <w:szCs w:val="20"/>
              </w:rPr>
            </w:pPr>
            <w:r w:rsidRPr="00D63DC0">
              <w:rPr>
                <w:color w:val="000000"/>
                <w:sz w:val="20"/>
                <w:szCs w:val="20"/>
              </w:rPr>
              <w:t xml:space="preserve">Age, </w:t>
            </w:r>
            <w:r w:rsidRPr="00D63DC0">
              <w:rPr>
                <w:i/>
                <w:iCs/>
                <w:color w:val="000000"/>
                <w:sz w:val="20"/>
                <w:szCs w:val="20"/>
              </w:rPr>
              <w:t>M</w:t>
            </w:r>
            <w:r w:rsidRPr="00D63DC0">
              <w:rPr>
                <w:color w:val="000000"/>
                <w:sz w:val="20"/>
                <w:szCs w:val="20"/>
              </w:rPr>
              <w:t>(</w:t>
            </w:r>
            <w:r w:rsidRPr="00D63DC0">
              <w:rPr>
                <w:i/>
                <w:iCs/>
                <w:color w:val="000000"/>
                <w:sz w:val="20"/>
                <w:szCs w:val="20"/>
              </w:rPr>
              <w:t>SD</w:t>
            </w:r>
            <w:r w:rsidRPr="00D63DC0">
              <w:rPr>
                <w:color w:val="000000"/>
                <w:sz w:val="20"/>
                <w:szCs w:val="20"/>
              </w:rPr>
              <w:t>)</w:t>
            </w:r>
          </w:p>
        </w:tc>
        <w:tc>
          <w:tcPr>
            <w:tcW w:w="1327" w:type="dxa"/>
            <w:tcBorders>
              <w:top w:val="nil"/>
              <w:left w:val="nil"/>
              <w:bottom w:val="nil"/>
              <w:right w:val="nil"/>
            </w:tcBorders>
            <w:shd w:val="clear" w:color="auto" w:fill="auto"/>
            <w:noWrap/>
            <w:vAlign w:val="center"/>
            <w:hideMark/>
          </w:tcPr>
          <w:p w14:paraId="607878E9" w14:textId="499B81E5" w:rsidR="00AA40E0" w:rsidRPr="00D63DC0" w:rsidRDefault="0010692A" w:rsidP="009B732A">
            <w:pPr>
              <w:jc w:val="center"/>
              <w:rPr>
                <w:color w:val="000000"/>
                <w:sz w:val="20"/>
                <w:szCs w:val="20"/>
              </w:rPr>
            </w:pPr>
            <w:r>
              <w:rPr>
                <w:color w:val="000000"/>
                <w:sz w:val="20"/>
                <w:szCs w:val="20"/>
              </w:rPr>
              <w:t>31.95</w:t>
            </w:r>
            <w:r w:rsidR="00AA40E0" w:rsidRPr="00D63DC0">
              <w:rPr>
                <w:color w:val="000000"/>
                <w:sz w:val="20"/>
                <w:szCs w:val="20"/>
              </w:rPr>
              <w:t>(</w:t>
            </w:r>
            <w:r>
              <w:rPr>
                <w:color w:val="000000"/>
                <w:sz w:val="20"/>
                <w:szCs w:val="20"/>
              </w:rPr>
              <w:t>14.41</w:t>
            </w:r>
            <w:r w:rsidR="00AA40E0"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08C35D9C" w14:textId="1120E7A4" w:rsidR="00AA40E0" w:rsidRPr="00D63DC0" w:rsidRDefault="0010692A" w:rsidP="009B732A">
            <w:pPr>
              <w:jc w:val="center"/>
              <w:rPr>
                <w:color w:val="000000"/>
                <w:sz w:val="20"/>
                <w:szCs w:val="20"/>
              </w:rPr>
            </w:pPr>
            <w:r>
              <w:rPr>
                <w:color w:val="000000"/>
                <w:sz w:val="20"/>
                <w:szCs w:val="20"/>
              </w:rPr>
              <w:t>30.78</w:t>
            </w:r>
            <w:r w:rsidR="00AA40E0" w:rsidRPr="00D63DC0">
              <w:rPr>
                <w:color w:val="000000"/>
                <w:sz w:val="20"/>
                <w:szCs w:val="20"/>
              </w:rPr>
              <w:t>(</w:t>
            </w:r>
            <w:r>
              <w:rPr>
                <w:color w:val="000000"/>
                <w:sz w:val="20"/>
                <w:szCs w:val="20"/>
              </w:rPr>
              <w:t>13.74</w:t>
            </w:r>
            <w:r w:rsidR="00AA40E0"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5DEB9D10" w14:textId="18613F4B" w:rsidR="00AA40E0" w:rsidRPr="00D63DC0" w:rsidRDefault="0010692A" w:rsidP="009B732A">
            <w:pPr>
              <w:jc w:val="center"/>
              <w:rPr>
                <w:color w:val="000000"/>
                <w:sz w:val="20"/>
                <w:szCs w:val="20"/>
              </w:rPr>
            </w:pPr>
            <w:r>
              <w:rPr>
                <w:color w:val="000000"/>
                <w:sz w:val="20"/>
                <w:szCs w:val="20"/>
              </w:rPr>
              <w:t>-0.39</w:t>
            </w:r>
          </w:p>
        </w:tc>
      </w:tr>
      <w:tr w:rsidR="00AA40E0" w:rsidRPr="00D63DC0" w14:paraId="35002909" w14:textId="77777777" w:rsidTr="009B732A">
        <w:trPr>
          <w:trHeight w:val="260"/>
        </w:trPr>
        <w:tc>
          <w:tcPr>
            <w:tcW w:w="3119" w:type="dxa"/>
            <w:tcBorders>
              <w:top w:val="nil"/>
              <w:left w:val="nil"/>
              <w:bottom w:val="nil"/>
              <w:right w:val="nil"/>
            </w:tcBorders>
            <w:shd w:val="clear" w:color="auto" w:fill="auto"/>
            <w:noWrap/>
            <w:vAlign w:val="center"/>
            <w:hideMark/>
          </w:tcPr>
          <w:p w14:paraId="08698F67" w14:textId="77777777" w:rsidR="00AA40E0" w:rsidRPr="00D63DC0" w:rsidRDefault="00AA40E0" w:rsidP="009B732A">
            <w:pPr>
              <w:rPr>
                <w:color w:val="000000"/>
                <w:sz w:val="20"/>
                <w:szCs w:val="20"/>
              </w:rPr>
            </w:pPr>
            <w:r w:rsidRPr="00D63DC0">
              <w:rPr>
                <w:color w:val="000000"/>
                <w:sz w:val="20"/>
                <w:szCs w:val="20"/>
              </w:rPr>
              <w:t xml:space="preserve">Sex (female), </w:t>
            </w:r>
            <w:proofErr w:type="gramStart"/>
            <w:r w:rsidRPr="00D63DC0">
              <w:rPr>
                <w:i/>
                <w:iCs/>
                <w:color w:val="000000"/>
                <w:sz w:val="20"/>
                <w:szCs w:val="20"/>
              </w:rPr>
              <w:t>n</w:t>
            </w:r>
            <w:r w:rsidRPr="00D63DC0">
              <w:rPr>
                <w:color w:val="000000"/>
                <w:sz w:val="20"/>
                <w:szCs w:val="20"/>
              </w:rPr>
              <w:t>(</w:t>
            </w:r>
            <w:proofErr w:type="gramEnd"/>
            <w:r w:rsidRPr="00D63DC0">
              <w:rPr>
                <w:color w:val="000000"/>
                <w:sz w:val="20"/>
                <w:szCs w:val="20"/>
              </w:rPr>
              <w:t>%)</w:t>
            </w:r>
          </w:p>
        </w:tc>
        <w:tc>
          <w:tcPr>
            <w:tcW w:w="1327" w:type="dxa"/>
            <w:tcBorders>
              <w:top w:val="nil"/>
              <w:left w:val="nil"/>
              <w:bottom w:val="nil"/>
              <w:right w:val="nil"/>
            </w:tcBorders>
            <w:shd w:val="clear" w:color="auto" w:fill="auto"/>
            <w:noWrap/>
            <w:vAlign w:val="center"/>
            <w:hideMark/>
          </w:tcPr>
          <w:p w14:paraId="54AF12AC" w14:textId="7DB02917" w:rsidR="00AA40E0" w:rsidRPr="00D63DC0" w:rsidRDefault="0010692A" w:rsidP="009B732A">
            <w:pPr>
              <w:jc w:val="center"/>
              <w:rPr>
                <w:color w:val="000000"/>
                <w:sz w:val="20"/>
                <w:szCs w:val="20"/>
              </w:rPr>
            </w:pPr>
            <w:r>
              <w:rPr>
                <w:color w:val="000000"/>
                <w:sz w:val="20"/>
                <w:szCs w:val="20"/>
              </w:rPr>
              <w:t>40</w:t>
            </w:r>
            <w:r w:rsidR="00AA40E0" w:rsidRPr="00D63DC0">
              <w:rPr>
                <w:color w:val="000000"/>
                <w:sz w:val="20"/>
                <w:szCs w:val="20"/>
              </w:rPr>
              <w:t>(</w:t>
            </w:r>
            <w:r>
              <w:rPr>
                <w:color w:val="000000"/>
                <w:sz w:val="20"/>
                <w:szCs w:val="20"/>
              </w:rPr>
              <w:t>72.72</w:t>
            </w:r>
            <w:r w:rsidR="00AA40E0"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5B6C296C" w14:textId="4718F73F" w:rsidR="00AA40E0" w:rsidRPr="00D63DC0" w:rsidRDefault="0010692A" w:rsidP="009B732A">
            <w:pPr>
              <w:jc w:val="center"/>
              <w:rPr>
                <w:color w:val="000000"/>
                <w:sz w:val="20"/>
                <w:szCs w:val="20"/>
              </w:rPr>
            </w:pPr>
            <w:r>
              <w:rPr>
                <w:color w:val="000000"/>
                <w:sz w:val="20"/>
                <w:szCs w:val="20"/>
              </w:rPr>
              <w:t>27</w:t>
            </w:r>
            <w:r w:rsidR="00AA40E0" w:rsidRPr="00D63DC0">
              <w:rPr>
                <w:color w:val="000000"/>
                <w:sz w:val="20"/>
                <w:szCs w:val="20"/>
              </w:rPr>
              <w:t>(</w:t>
            </w:r>
            <w:r>
              <w:rPr>
                <w:color w:val="000000"/>
                <w:sz w:val="20"/>
                <w:szCs w:val="20"/>
              </w:rPr>
              <w:t>75.00</w:t>
            </w:r>
            <w:r w:rsidR="00AA40E0"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3F3024CA" w14:textId="41CD14C3" w:rsidR="00AA40E0" w:rsidRPr="00D63DC0" w:rsidRDefault="00AA40E0" w:rsidP="009B732A">
            <w:pPr>
              <w:jc w:val="center"/>
              <w:rPr>
                <w:color w:val="000000"/>
                <w:sz w:val="20"/>
                <w:szCs w:val="20"/>
              </w:rPr>
            </w:pPr>
            <w:r w:rsidRPr="00D63DC0">
              <w:rPr>
                <w:color w:val="000000"/>
                <w:sz w:val="20"/>
                <w:szCs w:val="20"/>
              </w:rPr>
              <w:t>0.</w:t>
            </w:r>
            <w:r w:rsidR="0010692A">
              <w:rPr>
                <w:color w:val="000000"/>
                <w:sz w:val="20"/>
                <w:szCs w:val="20"/>
              </w:rPr>
              <w:t>06</w:t>
            </w:r>
          </w:p>
        </w:tc>
      </w:tr>
      <w:tr w:rsidR="00AA40E0" w:rsidRPr="00D63DC0" w14:paraId="2F55F22C" w14:textId="77777777" w:rsidTr="009B732A">
        <w:trPr>
          <w:trHeight w:val="520"/>
        </w:trPr>
        <w:tc>
          <w:tcPr>
            <w:tcW w:w="3119" w:type="dxa"/>
            <w:tcBorders>
              <w:top w:val="nil"/>
              <w:left w:val="nil"/>
              <w:bottom w:val="nil"/>
              <w:right w:val="nil"/>
            </w:tcBorders>
            <w:shd w:val="clear" w:color="auto" w:fill="auto"/>
            <w:vAlign w:val="center"/>
            <w:hideMark/>
          </w:tcPr>
          <w:p w14:paraId="6233006E" w14:textId="77777777" w:rsidR="00AA40E0" w:rsidRPr="00D63DC0" w:rsidRDefault="00AA40E0" w:rsidP="009B732A">
            <w:pPr>
              <w:rPr>
                <w:color w:val="000000"/>
                <w:sz w:val="20"/>
                <w:szCs w:val="20"/>
              </w:rPr>
            </w:pPr>
            <w:r w:rsidRPr="00D63DC0">
              <w:rPr>
                <w:color w:val="000000"/>
                <w:sz w:val="20"/>
                <w:szCs w:val="20"/>
              </w:rPr>
              <w:t xml:space="preserve">Ethnicity (underrepresented racial-ethnic groups), </w:t>
            </w:r>
            <w:proofErr w:type="gramStart"/>
            <w:r w:rsidRPr="00D63DC0">
              <w:rPr>
                <w:i/>
                <w:iCs/>
                <w:color w:val="000000"/>
                <w:sz w:val="20"/>
                <w:szCs w:val="20"/>
              </w:rPr>
              <w:t>n</w:t>
            </w:r>
            <w:r w:rsidRPr="00D63DC0">
              <w:rPr>
                <w:color w:val="000000"/>
                <w:sz w:val="20"/>
                <w:szCs w:val="20"/>
              </w:rPr>
              <w:t>(</w:t>
            </w:r>
            <w:proofErr w:type="gramEnd"/>
            <w:r w:rsidRPr="00D63DC0">
              <w:rPr>
                <w:color w:val="000000"/>
                <w:sz w:val="20"/>
                <w:szCs w:val="20"/>
              </w:rPr>
              <w:t>%)</w:t>
            </w:r>
          </w:p>
        </w:tc>
        <w:tc>
          <w:tcPr>
            <w:tcW w:w="1327" w:type="dxa"/>
            <w:tcBorders>
              <w:top w:val="nil"/>
              <w:left w:val="nil"/>
              <w:bottom w:val="nil"/>
              <w:right w:val="nil"/>
            </w:tcBorders>
            <w:shd w:val="clear" w:color="auto" w:fill="auto"/>
            <w:noWrap/>
            <w:vAlign w:val="center"/>
            <w:hideMark/>
          </w:tcPr>
          <w:p w14:paraId="59A464B6" w14:textId="1294C1F7" w:rsidR="00AA40E0" w:rsidRPr="00D63DC0" w:rsidRDefault="00AA40E0" w:rsidP="009B732A">
            <w:pPr>
              <w:jc w:val="center"/>
              <w:rPr>
                <w:color w:val="000000"/>
                <w:sz w:val="20"/>
                <w:szCs w:val="20"/>
              </w:rPr>
            </w:pPr>
            <w:r w:rsidRPr="00D63DC0">
              <w:rPr>
                <w:color w:val="000000"/>
                <w:sz w:val="20"/>
                <w:szCs w:val="20"/>
              </w:rPr>
              <w:t>10(</w:t>
            </w:r>
            <w:r w:rsidR="0010692A">
              <w:rPr>
                <w:color w:val="000000"/>
                <w:sz w:val="20"/>
                <w:szCs w:val="20"/>
              </w:rPr>
              <w:t>18.18</w:t>
            </w:r>
            <w:r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12B87169" w14:textId="74A20A27" w:rsidR="00AA40E0" w:rsidRPr="00D63DC0" w:rsidRDefault="00AA40E0" w:rsidP="009B732A">
            <w:pPr>
              <w:jc w:val="center"/>
              <w:rPr>
                <w:color w:val="000000"/>
                <w:sz w:val="20"/>
                <w:szCs w:val="20"/>
              </w:rPr>
            </w:pPr>
            <w:r w:rsidRPr="00D63DC0">
              <w:rPr>
                <w:color w:val="000000"/>
                <w:sz w:val="20"/>
                <w:szCs w:val="20"/>
              </w:rPr>
              <w:t>9(</w:t>
            </w:r>
            <w:r w:rsidR="0010692A">
              <w:rPr>
                <w:color w:val="000000"/>
                <w:sz w:val="20"/>
                <w:szCs w:val="20"/>
              </w:rPr>
              <w:t>25.00</w:t>
            </w:r>
            <w:r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6D2B407D" w14:textId="3DB8CE6E" w:rsidR="00AA40E0" w:rsidRPr="00D63DC0" w:rsidRDefault="0010692A" w:rsidP="009B732A">
            <w:pPr>
              <w:jc w:val="center"/>
              <w:rPr>
                <w:color w:val="000000"/>
                <w:sz w:val="20"/>
                <w:szCs w:val="20"/>
              </w:rPr>
            </w:pPr>
            <w:r>
              <w:rPr>
                <w:color w:val="000000"/>
                <w:sz w:val="20"/>
                <w:szCs w:val="20"/>
              </w:rPr>
              <w:t>0.58</w:t>
            </w:r>
          </w:p>
        </w:tc>
      </w:tr>
      <w:tr w:rsidR="00AA40E0" w:rsidRPr="00D63DC0" w14:paraId="3313A239" w14:textId="77777777" w:rsidTr="009B732A">
        <w:trPr>
          <w:trHeight w:val="260"/>
        </w:trPr>
        <w:tc>
          <w:tcPr>
            <w:tcW w:w="3119" w:type="dxa"/>
            <w:tcBorders>
              <w:top w:val="nil"/>
              <w:left w:val="nil"/>
              <w:bottom w:val="nil"/>
              <w:right w:val="nil"/>
            </w:tcBorders>
            <w:shd w:val="clear" w:color="auto" w:fill="auto"/>
            <w:noWrap/>
            <w:vAlign w:val="center"/>
            <w:hideMark/>
          </w:tcPr>
          <w:p w14:paraId="0F385815" w14:textId="77777777" w:rsidR="00AA40E0" w:rsidRPr="00D63DC0" w:rsidRDefault="00AA40E0" w:rsidP="009B732A">
            <w:pPr>
              <w:rPr>
                <w:color w:val="000000"/>
                <w:sz w:val="20"/>
                <w:szCs w:val="20"/>
              </w:rPr>
            </w:pPr>
            <w:r w:rsidRPr="00D63DC0">
              <w:rPr>
                <w:color w:val="000000"/>
                <w:sz w:val="20"/>
                <w:szCs w:val="20"/>
              </w:rPr>
              <w:t xml:space="preserve">Income, </w:t>
            </w:r>
            <w:proofErr w:type="gramStart"/>
            <w:r w:rsidRPr="00D63DC0">
              <w:rPr>
                <w:i/>
                <w:iCs/>
                <w:color w:val="000000"/>
                <w:sz w:val="20"/>
                <w:szCs w:val="20"/>
              </w:rPr>
              <w:t>n</w:t>
            </w:r>
            <w:r w:rsidRPr="00D63DC0">
              <w:rPr>
                <w:color w:val="000000"/>
                <w:sz w:val="20"/>
                <w:szCs w:val="20"/>
              </w:rPr>
              <w:t>(</w:t>
            </w:r>
            <w:proofErr w:type="gramEnd"/>
            <w:r w:rsidRPr="00D63DC0">
              <w:rPr>
                <w:color w:val="000000"/>
                <w:sz w:val="20"/>
                <w:szCs w:val="20"/>
              </w:rPr>
              <w:t>%)</w:t>
            </w:r>
          </w:p>
        </w:tc>
        <w:tc>
          <w:tcPr>
            <w:tcW w:w="1327" w:type="dxa"/>
            <w:tcBorders>
              <w:top w:val="nil"/>
              <w:left w:val="nil"/>
              <w:bottom w:val="nil"/>
              <w:right w:val="nil"/>
            </w:tcBorders>
            <w:shd w:val="clear" w:color="auto" w:fill="auto"/>
            <w:noWrap/>
            <w:vAlign w:val="center"/>
            <w:hideMark/>
          </w:tcPr>
          <w:p w14:paraId="7F97C5C9" w14:textId="77777777" w:rsidR="00AA40E0" w:rsidRPr="00D63DC0" w:rsidRDefault="00AA40E0" w:rsidP="009B732A">
            <w:pPr>
              <w:rPr>
                <w:color w:val="000000"/>
                <w:sz w:val="20"/>
                <w:szCs w:val="20"/>
              </w:rPr>
            </w:pPr>
          </w:p>
        </w:tc>
        <w:tc>
          <w:tcPr>
            <w:tcW w:w="1280" w:type="dxa"/>
            <w:tcBorders>
              <w:top w:val="nil"/>
              <w:left w:val="nil"/>
              <w:bottom w:val="nil"/>
              <w:right w:val="nil"/>
            </w:tcBorders>
            <w:shd w:val="clear" w:color="auto" w:fill="auto"/>
            <w:noWrap/>
            <w:vAlign w:val="center"/>
            <w:hideMark/>
          </w:tcPr>
          <w:p w14:paraId="7C8BBE01" w14:textId="77777777" w:rsidR="00AA40E0" w:rsidRPr="00D63DC0" w:rsidRDefault="00AA40E0" w:rsidP="009B732A">
            <w:pPr>
              <w:jc w:val="center"/>
              <w:rPr>
                <w:sz w:val="20"/>
                <w:szCs w:val="20"/>
              </w:rPr>
            </w:pPr>
          </w:p>
        </w:tc>
        <w:tc>
          <w:tcPr>
            <w:tcW w:w="2144" w:type="dxa"/>
            <w:tcBorders>
              <w:top w:val="nil"/>
              <w:left w:val="nil"/>
              <w:bottom w:val="nil"/>
              <w:right w:val="nil"/>
            </w:tcBorders>
            <w:shd w:val="clear" w:color="auto" w:fill="auto"/>
            <w:noWrap/>
            <w:vAlign w:val="center"/>
            <w:hideMark/>
          </w:tcPr>
          <w:p w14:paraId="1EB223C9" w14:textId="77777777" w:rsidR="00AA40E0" w:rsidRPr="00D63DC0" w:rsidRDefault="00AA40E0" w:rsidP="009B732A">
            <w:pPr>
              <w:jc w:val="center"/>
              <w:rPr>
                <w:sz w:val="20"/>
                <w:szCs w:val="20"/>
              </w:rPr>
            </w:pPr>
          </w:p>
        </w:tc>
      </w:tr>
      <w:tr w:rsidR="00AA40E0" w:rsidRPr="00D63DC0" w14:paraId="6AAD8E72" w14:textId="77777777" w:rsidTr="009B732A">
        <w:trPr>
          <w:trHeight w:val="260"/>
        </w:trPr>
        <w:tc>
          <w:tcPr>
            <w:tcW w:w="3119" w:type="dxa"/>
            <w:tcBorders>
              <w:top w:val="nil"/>
              <w:left w:val="nil"/>
              <w:bottom w:val="nil"/>
              <w:right w:val="nil"/>
            </w:tcBorders>
            <w:shd w:val="clear" w:color="auto" w:fill="auto"/>
            <w:noWrap/>
            <w:vAlign w:val="center"/>
            <w:hideMark/>
          </w:tcPr>
          <w:p w14:paraId="13433422" w14:textId="77777777" w:rsidR="00AA40E0" w:rsidRPr="00D63DC0" w:rsidRDefault="00AA40E0" w:rsidP="009B732A">
            <w:pPr>
              <w:jc w:val="right"/>
              <w:rPr>
                <w:color w:val="000000"/>
                <w:sz w:val="20"/>
                <w:szCs w:val="20"/>
              </w:rPr>
            </w:pPr>
            <w:r w:rsidRPr="00D63DC0">
              <w:rPr>
                <w:color w:val="000000"/>
                <w:sz w:val="20"/>
                <w:szCs w:val="20"/>
              </w:rPr>
              <w:t>High/Medium Income</w:t>
            </w:r>
          </w:p>
        </w:tc>
        <w:tc>
          <w:tcPr>
            <w:tcW w:w="1327" w:type="dxa"/>
            <w:tcBorders>
              <w:top w:val="nil"/>
              <w:left w:val="nil"/>
              <w:bottom w:val="nil"/>
              <w:right w:val="nil"/>
            </w:tcBorders>
            <w:shd w:val="clear" w:color="auto" w:fill="auto"/>
            <w:noWrap/>
            <w:vAlign w:val="center"/>
            <w:hideMark/>
          </w:tcPr>
          <w:p w14:paraId="1433C483" w14:textId="18175331" w:rsidR="00AA40E0" w:rsidRPr="00D63DC0" w:rsidRDefault="00AA40E0" w:rsidP="009B732A">
            <w:pPr>
              <w:jc w:val="center"/>
              <w:rPr>
                <w:color w:val="000000"/>
                <w:sz w:val="20"/>
                <w:szCs w:val="20"/>
              </w:rPr>
            </w:pPr>
            <w:r w:rsidRPr="00D63DC0">
              <w:rPr>
                <w:color w:val="000000"/>
                <w:sz w:val="20"/>
                <w:szCs w:val="20"/>
              </w:rPr>
              <w:t>2</w:t>
            </w:r>
            <w:r w:rsidR="0010692A">
              <w:rPr>
                <w:color w:val="000000"/>
                <w:sz w:val="20"/>
                <w:szCs w:val="20"/>
              </w:rPr>
              <w:t>2</w:t>
            </w:r>
            <w:r w:rsidRPr="00D63DC0">
              <w:rPr>
                <w:color w:val="000000"/>
                <w:sz w:val="20"/>
                <w:szCs w:val="20"/>
              </w:rPr>
              <w:t>(</w:t>
            </w:r>
            <w:r w:rsidR="0010692A">
              <w:rPr>
                <w:color w:val="000000"/>
                <w:sz w:val="20"/>
                <w:szCs w:val="20"/>
              </w:rPr>
              <w:t>40.00</w:t>
            </w:r>
            <w:r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210685FF" w14:textId="5B2358AF" w:rsidR="00AA40E0" w:rsidRPr="00D63DC0" w:rsidRDefault="00AA40E0" w:rsidP="009B732A">
            <w:pPr>
              <w:jc w:val="center"/>
              <w:rPr>
                <w:color w:val="000000"/>
                <w:sz w:val="20"/>
                <w:szCs w:val="20"/>
              </w:rPr>
            </w:pPr>
            <w:r w:rsidRPr="00D63DC0">
              <w:rPr>
                <w:color w:val="000000"/>
                <w:sz w:val="20"/>
                <w:szCs w:val="20"/>
              </w:rPr>
              <w:t>1</w:t>
            </w:r>
            <w:r w:rsidR="0010692A">
              <w:rPr>
                <w:color w:val="000000"/>
                <w:sz w:val="20"/>
                <w:szCs w:val="20"/>
              </w:rPr>
              <w:t>1</w:t>
            </w:r>
            <w:r w:rsidRPr="00D63DC0">
              <w:rPr>
                <w:color w:val="000000"/>
                <w:sz w:val="20"/>
                <w:szCs w:val="20"/>
              </w:rPr>
              <w:t>(3</w:t>
            </w:r>
            <w:r w:rsidR="0010692A">
              <w:rPr>
                <w:color w:val="000000"/>
                <w:sz w:val="20"/>
                <w:szCs w:val="20"/>
              </w:rPr>
              <w:t>0.55</w:t>
            </w:r>
            <w:r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542D589E" w14:textId="232BE323" w:rsidR="00AA40E0" w:rsidRPr="00D63DC0" w:rsidRDefault="0010692A" w:rsidP="009B732A">
            <w:pPr>
              <w:jc w:val="center"/>
              <w:rPr>
                <w:color w:val="000000"/>
                <w:sz w:val="20"/>
                <w:szCs w:val="20"/>
              </w:rPr>
            </w:pPr>
            <w:r>
              <w:rPr>
                <w:color w:val="000000"/>
                <w:sz w:val="20"/>
                <w:szCs w:val="20"/>
              </w:rPr>
              <w:t>.64</w:t>
            </w:r>
          </w:p>
        </w:tc>
      </w:tr>
      <w:tr w:rsidR="00AA40E0" w:rsidRPr="00D63DC0" w14:paraId="0D5D8FCE" w14:textId="77777777" w:rsidTr="009B732A">
        <w:trPr>
          <w:trHeight w:val="260"/>
        </w:trPr>
        <w:tc>
          <w:tcPr>
            <w:tcW w:w="3119" w:type="dxa"/>
            <w:tcBorders>
              <w:top w:val="nil"/>
              <w:left w:val="nil"/>
              <w:bottom w:val="nil"/>
              <w:right w:val="nil"/>
            </w:tcBorders>
            <w:shd w:val="clear" w:color="auto" w:fill="auto"/>
            <w:noWrap/>
            <w:vAlign w:val="center"/>
            <w:hideMark/>
          </w:tcPr>
          <w:p w14:paraId="1F3E9E95" w14:textId="77777777" w:rsidR="00AA40E0" w:rsidRPr="00D63DC0" w:rsidRDefault="00AA40E0" w:rsidP="009B732A">
            <w:pPr>
              <w:jc w:val="right"/>
              <w:rPr>
                <w:color w:val="000000"/>
                <w:sz w:val="20"/>
                <w:szCs w:val="20"/>
              </w:rPr>
            </w:pPr>
            <w:r w:rsidRPr="00D63DC0">
              <w:rPr>
                <w:color w:val="000000"/>
                <w:sz w:val="20"/>
                <w:szCs w:val="20"/>
              </w:rPr>
              <w:t>Low Income</w:t>
            </w:r>
          </w:p>
        </w:tc>
        <w:tc>
          <w:tcPr>
            <w:tcW w:w="1327" w:type="dxa"/>
            <w:tcBorders>
              <w:top w:val="nil"/>
              <w:left w:val="nil"/>
              <w:bottom w:val="nil"/>
              <w:right w:val="nil"/>
            </w:tcBorders>
            <w:shd w:val="clear" w:color="auto" w:fill="auto"/>
            <w:noWrap/>
            <w:vAlign w:val="center"/>
            <w:hideMark/>
          </w:tcPr>
          <w:p w14:paraId="40567493" w14:textId="614EE9B5" w:rsidR="00AA40E0" w:rsidRPr="00D63DC0" w:rsidRDefault="00AA40E0" w:rsidP="009B732A">
            <w:pPr>
              <w:jc w:val="center"/>
              <w:rPr>
                <w:color w:val="000000"/>
                <w:sz w:val="20"/>
                <w:szCs w:val="20"/>
              </w:rPr>
            </w:pPr>
            <w:r w:rsidRPr="00D63DC0">
              <w:rPr>
                <w:color w:val="000000"/>
                <w:sz w:val="20"/>
                <w:szCs w:val="20"/>
              </w:rPr>
              <w:t>1</w:t>
            </w:r>
            <w:r w:rsidR="0010692A">
              <w:rPr>
                <w:color w:val="000000"/>
                <w:sz w:val="20"/>
                <w:szCs w:val="20"/>
              </w:rPr>
              <w:t>2</w:t>
            </w:r>
            <w:r w:rsidRPr="00D63DC0">
              <w:rPr>
                <w:color w:val="000000"/>
                <w:sz w:val="20"/>
                <w:szCs w:val="20"/>
              </w:rPr>
              <w:t>(</w:t>
            </w:r>
            <w:r w:rsidR="0010692A">
              <w:rPr>
                <w:color w:val="000000"/>
                <w:sz w:val="20"/>
                <w:szCs w:val="20"/>
              </w:rPr>
              <w:t>21</w:t>
            </w:r>
            <w:r w:rsidRPr="00D63DC0">
              <w:rPr>
                <w:color w:val="000000"/>
                <w:sz w:val="20"/>
                <w:szCs w:val="20"/>
              </w:rPr>
              <w:t>.</w:t>
            </w:r>
            <w:r w:rsidR="0010692A">
              <w:rPr>
                <w:color w:val="000000"/>
                <w:sz w:val="20"/>
                <w:szCs w:val="20"/>
              </w:rPr>
              <w:t>82</w:t>
            </w:r>
            <w:r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4FC2F8F4" w14:textId="4C4866B9" w:rsidR="00AA40E0" w:rsidRPr="00D63DC0" w:rsidRDefault="0010692A" w:rsidP="009B732A">
            <w:pPr>
              <w:jc w:val="center"/>
              <w:rPr>
                <w:color w:val="000000"/>
                <w:sz w:val="20"/>
                <w:szCs w:val="20"/>
              </w:rPr>
            </w:pPr>
            <w:r>
              <w:rPr>
                <w:color w:val="000000"/>
                <w:sz w:val="20"/>
                <w:szCs w:val="20"/>
              </w:rPr>
              <w:t>9</w:t>
            </w:r>
            <w:r w:rsidR="00AA40E0" w:rsidRPr="00D63DC0">
              <w:rPr>
                <w:color w:val="000000"/>
                <w:sz w:val="20"/>
                <w:szCs w:val="20"/>
              </w:rPr>
              <w:t>(</w:t>
            </w:r>
            <w:r>
              <w:rPr>
                <w:color w:val="000000"/>
                <w:sz w:val="20"/>
                <w:szCs w:val="20"/>
              </w:rPr>
              <w:t>25.00</w:t>
            </w:r>
            <w:r w:rsidR="00AA40E0"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5E4B648E" w14:textId="77777777" w:rsidR="00AA40E0" w:rsidRPr="00D63DC0" w:rsidRDefault="00AA40E0" w:rsidP="009B732A">
            <w:pPr>
              <w:jc w:val="center"/>
              <w:rPr>
                <w:color w:val="000000"/>
                <w:sz w:val="20"/>
                <w:szCs w:val="20"/>
              </w:rPr>
            </w:pPr>
          </w:p>
        </w:tc>
      </w:tr>
      <w:tr w:rsidR="00AA40E0" w:rsidRPr="00D63DC0" w14:paraId="2AE53748" w14:textId="77777777" w:rsidTr="009B732A">
        <w:trPr>
          <w:trHeight w:val="260"/>
        </w:trPr>
        <w:tc>
          <w:tcPr>
            <w:tcW w:w="3119" w:type="dxa"/>
            <w:tcBorders>
              <w:top w:val="nil"/>
              <w:left w:val="nil"/>
              <w:bottom w:val="nil"/>
              <w:right w:val="nil"/>
            </w:tcBorders>
            <w:shd w:val="clear" w:color="auto" w:fill="auto"/>
            <w:noWrap/>
            <w:vAlign w:val="center"/>
            <w:hideMark/>
          </w:tcPr>
          <w:p w14:paraId="59627ABF" w14:textId="77777777" w:rsidR="00AA40E0" w:rsidRPr="00D63DC0" w:rsidRDefault="00AA40E0" w:rsidP="009B732A">
            <w:pPr>
              <w:jc w:val="right"/>
              <w:rPr>
                <w:color w:val="000000"/>
                <w:sz w:val="20"/>
                <w:szCs w:val="20"/>
              </w:rPr>
            </w:pPr>
            <w:r w:rsidRPr="00D63DC0">
              <w:rPr>
                <w:color w:val="000000"/>
                <w:sz w:val="20"/>
                <w:szCs w:val="20"/>
              </w:rPr>
              <w:t>Student</w:t>
            </w:r>
          </w:p>
        </w:tc>
        <w:tc>
          <w:tcPr>
            <w:tcW w:w="1327" w:type="dxa"/>
            <w:tcBorders>
              <w:top w:val="nil"/>
              <w:left w:val="nil"/>
              <w:bottom w:val="nil"/>
              <w:right w:val="nil"/>
            </w:tcBorders>
            <w:shd w:val="clear" w:color="auto" w:fill="auto"/>
            <w:noWrap/>
            <w:vAlign w:val="center"/>
            <w:hideMark/>
          </w:tcPr>
          <w:p w14:paraId="320BD1F8" w14:textId="334B32FB" w:rsidR="00AA40E0" w:rsidRPr="00D63DC0" w:rsidRDefault="0010692A" w:rsidP="009B732A">
            <w:pPr>
              <w:jc w:val="center"/>
              <w:rPr>
                <w:color w:val="000000"/>
                <w:sz w:val="20"/>
                <w:szCs w:val="20"/>
              </w:rPr>
            </w:pPr>
            <w:r>
              <w:rPr>
                <w:color w:val="000000"/>
                <w:sz w:val="20"/>
                <w:szCs w:val="20"/>
              </w:rPr>
              <w:t>20</w:t>
            </w:r>
            <w:r w:rsidR="00AA40E0" w:rsidRPr="00D63DC0">
              <w:rPr>
                <w:color w:val="000000"/>
                <w:sz w:val="20"/>
                <w:szCs w:val="20"/>
              </w:rPr>
              <w:t>(3</w:t>
            </w:r>
            <w:r>
              <w:rPr>
                <w:color w:val="000000"/>
                <w:sz w:val="20"/>
                <w:szCs w:val="20"/>
              </w:rPr>
              <w:t>6</w:t>
            </w:r>
            <w:r w:rsidR="00AA40E0" w:rsidRPr="00D63DC0">
              <w:rPr>
                <w:color w:val="000000"/>
                <w:sz w:val="20"/>
                <w:szCs w:val="20"/>
              </w:rPr>
              <w:t>.00)</w:t>
            </w:r>
          </w:p>
        </w:tc>
        <w:tc>
          <w:tcPr>
            <w:tcW w:w="1280" w:type="dxa"/>
            <w:tcBorders>
              <w:top w:val="nil"/>
              <w:left w:val="nil"/>
              <w:bottom w:val="nil"/>
              <w:right w:val="nil"/>
            </w:tcBorders>
            <w:shd w:val="clear" w:color="auto" w:fill="auto"/>
            <w:noWrap/>
            <w:vAlign w:val="center"/>
            <w:hideMark/>
          </w:tcPr>
          <w:p w14:paraId="0A82F61B" w14:textId="7865BA55" w:rsidR="00AA40E0" w:rsidRPr="00D63DC0" w:rsidRDefault="00AA40E0" w:rsidP="009B732A">
            <w:pPr>
              <w:jc w:val="center"/>
              <w:rPr>
                <w:color w:val="000000"/>
                <w:sz w:val="20"/>
                <w:szCs w:val="20"/>
              </w:rPr>
            </w:pPr>
            <w:r w:rsidRPr="00D63DC0">
              <w:rPr>
                <w:color w:val="000000"/>
                <w:sz w:val="20"/>
                <w:szCs w:val="20"/>
              </w:rPr>
              <w:t>1</w:t>
            </w:r>
            <w:r w:rsidR="0010692A">
              <w:rPr>
                <w:color w:val="000000"/>
                <w:sz w:val="20"/>
                <w:szCs w:val="20"/>
              </w:rPr>
              <w:t>4</w:t>
            </w:r>
            <w:r w:rsidRPr="00D63DC0">
              <w:rPr>
                <w:color w:val="000000"/>
                <w:sz w:val="20"/>
                <w:szCs w:val="20"/>
              </w:rPr>
              <w:t>(</w:t>
            </w:r>
            <w:r w:rsidR="0010692A">
              <w:rPr>
                <w:color w:val="000000"/>
                <w:sz w:val="20"/>
                <w:szCs w:val="20"/>
              </w:rPr>
              <w:t>38.89</w:t>
            </w:r>
            <w:r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03854643" w14:textId="77777777" w:rsidR="00AA40E0" w:rsidRPr="00D63DC0" w:rsidRDefault="00AA40E0" w:rsidP="009B732A">
            <w:pPr>
              <w:jc w:val="center"/>
              <w:rPr>
                <w:color w:val="000000"/>
                <w:sz w:val="20"/>
                <w:szCs w:val="20"/>
              </w:rPr>
            </w:pPr>
          </w:p>
        </w:tc>
      </w:tr>
      <w:tr w:rsidR="0010692A" w:rsidRPr="00D63DC0" w14:paraId="44B7AA4A" w14:textId="77777777" w:rsidTr="009B732A">
        <w:trPr>
          <w:trHeight w:val="260"/>
        </w:trPr>
        <w:tc>
          <w:tcPr>
            <w:tcW w:w="3119" w:type="dxa"/>
            <w:tcBorders>
              <w:top w:val="nil"/>
              <w:left w:val="nil"/>
              <w:bottom w:val="nil"/>
              <w:right w:val="nil"/>
            </w:tcBorders>
            <w:shd w:val="clear" w:color="auto" w:fill="auto"/>
            <w:noWrap/>
            <w:vAlign w:val="center"/>
          </w:tcPr>
          <w:p w14:paraId="62B33A21" w14:textId="2C021A6F" w:rsidR="0010692A" w:rsidRPr="00D63DC0" w:rsidRDefault="0010692A" w:rsidP="009B732A">
            <w:pPr>
              <w:rPr>
                <w:color w:val="000000"/>
                <w:sz w:val="20"/>
                <w:szCs w:val="20"/>
              </w:rPr>
            </w:pPr>
            <w:r>
              <w:rPr>
                <w:color w:val="000000"/>
                <w:sz w:val="20"/>
                <w:szCs w:val="20"/>
              </w:rPr>
              <w:t xml:space="preserve">Severe </w:t>
            </w:r>
            <w:r w:rsidR="009B732A">
              <w:rPr>
                <w:color w:val="000000"/>
                <w:sz w:val="20"/>
                <w:szCs w:val="20"/>
              </w:rPr>
              <w:t>CM</w:t>
            </w:r>
            <w:r>
              <w:rPr>
                <w:color w:val="000000"/>
                <w:sz w:val="20"/>
                <w:szCs w:val="20"/>
              </w:rPr>
              <w:t xml:space="preserve">, </w:t>
            </w:r>
            <w:proofErr w:type="gramStart"/>
            <w:r w:rsidRPr="0010692A">
              <w:rPr>
                <w:i/>
                <w:iCs/>
                <w:color w:val="000000"/>
                <w:sz w:val="20"/>
                <w:szCs w:val="20"/>
              </w:rPr>
              <w:t>n</w:t>
            </w:r>
            <w:r>
              <w:rPr>
                <w:color w:val="000000"/>
                <w:sz w:val="20"/>
                <w:szCs w:val="20"/>
              </w:rPr>
              <w:t>(</w:t>
            </w:r>
            <w:proofErr w:type="gramEnd"/>
            <w:r>
              <w:rPr>
                <w:color w:val="000000"/>
                <w:sz w:val="20"/>
                <w:szCs w:val="20"/>
              </w:rPr>
              <w:t>%)</w:t>
            </w:r>
          </w:p>
        </w:tc>
        <w:tc>
          <w:tcPr>
            <w:tcW w:w="1327" w:type="dxa"/>
            <w:tcBorders>
              <w:top w:val="nil"/>
              <w:left w:val="nil"/>
              <w:bottom w:val="nil"/>
              <w:right w:val="nil"/>
            </w:tcBorders>
            <w:shd w:val="clear" w:color="auto" w:fill="auto"/>
            <w:noWrap/>
            <w:vAlign w:val="center"/>
          </w:tcPr>
          <w:p w14:paraId="10C9E745" w14:textId="6C2D27E7" w:rsidR="0010692A" w:rsidRPr="00D63DC0" w:rsidRDefault="0010692A" w:rsidP="009B732A">
            <w:pPr>
              <w:jc w:val="center"/>
              <w:rPr>
                <w:color w:val="000000"/>
                <w:sz w:val="20"/>
                <w:szCs w:val="20"/>
              </w:rPr>
            </w:pPr>
            <w:r>
              <w:rPr>
                <w:color w:val="000000"/>
                <w:sz w:val="20"/>
                <w:szCs w:val="20"/>
              </w:rPr>
              <w:t>33(60.00)</w:t>
            </w:r>
          </w:p>
        </w:tc>
        <w:tc>
          <w:tcPr>
            <w:tcW w:w="1280" w:type="dxa"/>
            <w:tcBorders>
              <w:top w:val="nil"/>
              <w:left w:val="nil"/>
              <w:bottom w:val="nil"/>
              <w:right w:val="nil"/>
            </w:tcBorders>
            <w:shd w:val="clear" w:color="auto" w:fill="auto"/>
            <w:noWrap/>
            <w:vAlign w:val="center"/>
          </w:tcPr>
          <w:p w14:paraId="2CBA0F65" w14:textId="324C2422" w:rsidR="0010692A" w:rsidRPr="00D63DC0" w:rsidRDefault="0010692A" w:rsidP="009B732A">
            <w:pPr>
              <w:jc w:val="center"/>
              <w:rPr>
                <w:color w:val="000000"/>
                <w:sz w:val="20"/>
                <w:szCs w:val="20"/>
              </w:rPr>
            </w:pPr>
            <w:r>
              <w:rPr>
                <w:color w:val="000000"/>
                <w:sz w:val="20"/>
                <w:szCs w:val="20"/>
              </w:rPr>
              <w:t>18(50.00)</w:t>
            </w:r>
          </w:p>
        </w:tc>
        <w:tc>
          <w:tcPr>
            <w:tcW w:w="2144" w:type="dxa"/>
            <w:tcBorders>
              <w:top w:val="nil"/>
              <w:left w:val="nil"/>
              <w:bottom w:val="nil"/>
              <w:right w:val="nil"/>
            </w:tcBorders>
            <w:shd w:val="clear" w:color="auto" w:fill="auto"/>
            <w:noWrap/>
            <w:vAlign w:val="center"/>
          </w:tcPr>
          <w:p w14:paraId="78ED5A8C" w14:textId="7A8584E4" w:rsidR="0010692A" w:rsidRPr="00D63DC0" w:rsidRDefault="0010692A" w:rsidP="009B732A">
            <w:pPr>
              <w:jc w:val="center"/>
              <w:rPr>
                <w:color w:val="000000"/>
                <w:sz w:val="20"/>
                <w:szCs w:val="20"/>
              </w:rPr>
            </w:pPr>
            <w:r>
              <w:rPr>
                <w:color w:val="000000"/>
                <w:sz w:val="20"/>
                <w:szCs w:val="20"/>
              </w:rPr>
              <w:t>.88</w:t>
            </w:r>
          </w:p>
        </w:tc>
      </w:tr>
      <w:tr w:rsidR="00AA40E0" w:rsidRPr="00D63DC0" w14:paraId="55209DC9" w14:textId="77777777" w:rsidTr="009B732A">
        <w:trPr>
          <w:trHeight w:val="260"/>
        </w:trPr>
        <w:tc>
          <w:tcPr>
            <w:tcW w:w="3119" w:type="dxa"/>
            <w:tcBorders>
              <w:top w:val="nil"/>
              <w:left w:val="nil"/>
              <w:bottom w:val="nil"/>
              <w:right w:val="nil"/>
            </w:tcBorders>
            <w:shd w:val="clear" w:color="auto" w:fill="auto"/>
            <w:noWrap/>
            <w:vAlign w:val="center"/>
            <w:hideMark/>
          </w:tcPr>
          <w:p w14:paraId="36868ED0" w14:textId="77777777" w:rsidR="00AA40E0" w:rsidRPr="00D63DC0" w:rsidRDefault="00AA40E0" w:rsidP="009B732A">
            <w:pPr>
              <w:rPr>
                <w:color w:val="000000"/>
                <w:sz w:val="20"/>
                <w:szCs w:val="20"/>
              </w:rPr>
            </w:pPr>
            <w:r w:rsidRPr="00D63DC0">
              <w:rPr>
                <w:color w:val="000000"/>
                <w:sz w:val="20"/>
                <w:szCs w:val="20"/>
              </w:rPr>
              <w:t xml:space="preserve">MADRS Score, </w:t>
            </w:r>
            <w:r w:rsidRPr="00D63DC0">
              <w:rPr>
                <w:i/>
                <w:iCs/>
                <w:color w:val="000000"/>
                <w:sz w:val="20"/>
                <w:szCs w:val="20"/>
              </w:rPr>
              <w:t>M(SD)</w:t>
            </w:r>
            <w:r w:rsidRPr="00D63DC0">
              <w:rPr>
                <w:color w:val="000000"/>
                <w:sz w:val="20"/>
                <w:szCs w:val="20"/>
                <w:vertAlign w:val="superscript"/>
              </w:rPr>
              <w:t>a</w:t>
            </w:r>
          </w:p>
        </w:tc>
        <w:tc>
          <w:tcPr>
            <w:tcW w:w="1327" w:type="dxa"/>
            <w:tcBorders>
              <w:top w:val="nil"/>
              <w:left w:val="nil"/>
              <w:bottom w:val="nil"/>
              <w:right w:val="nil"/>
            </w:tcBorders>
            <w:shd w:val="clear" w:color="auto" w:fill="auto"/>
            <w:noWrap/>
            <w:vAlign w:val="center"/>
            <w:hideMark/>
          </w:tcPr>
          <w:p w14:paraId="63218A3E" w14:textId="47DD3265" w:rsidR="00AA40E0" w:rsidRPr="00D63DC0" w:rsidRDefault="00AA40E0" w:rsidP="009B732A">
            <w:pPr>
              <w:jc w:val="center"/>
              <w:rPr>
                <w:color w:val="000000"/>
                <w:sz w:val="20"/>
                <w:szCs w:val="20"/>
              </w:rPr>
            </w:pPr>
            <w:r w:rsidRPr="00D63DC0">
              <w:rPr>
                <w:color w:val="000000"/>
                <w:sz w:val="20"/>
                <w:szCs w:val="20"/>
              </w:rPr>
              <w:t>28.</w:t>
            </w:r>
            <w:r w:rsidR="0010692A">
              <w:rPr>
                <w:color w:val="000000"/>
                <w:sz w:val="20"/>
                <w:szCs w:val="20"/>
              </w:rPr>
              <w:t>58</w:t>
            </w:r>
            <w:r w:rsidRPr="00D63DC0">
              <w:rPr>
                <w:color w:val="000000"/>
                <w:sz w:val="20"/>
                <w:szCs w:val="20"/>
              </w:rPr>
              <w:t>(7.</w:t>
            </w:r>
            <w:r w:rsidR="0010692A">
              <w:rPr>
                <w:color w:val="000000"/>
                <w:sz w:val="20"/>
                <w:szCs w:val="20"/>
              </w:rPr>
              <w:t>89</w:t>
            </w:r>
            <w:r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18C14DB5" w14:textId="78A606DB" w:rsidR="00AA40E0" w:rsidRPr="00D63DC0" w:rsidRDefault="00AA40E0" w:rsidP="009B732A">
            <w:pPr>
              <w:jc w:val="center"/>
              <w:rPr>
                <w:color w:val="000000"/>
                <w:sz w:val="20"/>
                <w:szCs w:val="20"/>
              </w:rPr>
            </w:pPr>
            <w:r w:rsidRPr="00D63DC0">
              <w:rPr>
                <w:color w:val="000000"/>
                <w:sz w:val="20"/>
                <w:szCs w:val="20"/>
              </w:rPr>
              <w:t>26.3</w:t>
            </w:r>
            <w:r w:rsidR="0010692A">
              <w:rPr>
                <w:color w:val="000000"/>
                <w:sz w:val="20"/>
                <w:szCs w:val="20"/>
              </w:rPr>
              <w:t>9</w:t>
            </w:r>
            <w:r w:rsidRPr="00D63DC0">
              <w:rPr>
                <w:color w:val="000000"/>
                <w:sz w:val="20"/>
                <w:szCs w:val="20"/>
              </w:rPr>
              <w:t>(6.</w:t>
            </w:r>
            <w:r w:rsidR="0010692A">
              <w:rPr>
                <w:color w:val="000000"/>
                <w:sz w:val="20"/>
                <w:szCs w:val="20"/>
              </w:rPr>
              <w:t>01</w:t>
            </w:r>
            <w:r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6EC9F749" w14:textId="7D0F7185" w:rsidR="00AA40E0" w:rsidRPr="00D63DC0" w:rsidRDefault="0010692A" w:rsidP="009B732A">
            <w:pPr>
              <w:jc w:val="center"/>
              <w:rPr>
                <w:color w:val="000000"/>
                <w:sz w:val="20"/>
                <w:szCs w:val="20"/>
              </w:rPr>
            </w:pPr>
            <w:r>
              <w:rPr>
                <w:color w:val="000000"/>
                <w:sz w:val="20"/>
                <w:szCs w:val="20"/>
              </w:rPr>
              <w:t>-1.42</w:t>
            </w:r>
          </w:p>
        </w:tc>
      </w:tr>
      <w:tr w:rsidR="00AA40E0" w:rsidRPr="00D63DC0" w14:paraId="59CD770A" w14:textId="77777777" w:rsidTr="009B732A">
        <w:trPr>
          <w:trHeight w:val="260"/>
        </w:trPr>
        <w:tc>
          <w:tcPr>
            <w:tcW w:w="3119" w:type="dxa"/>
            <w:tcBorders>
              <w:top w:val="nil"/>
              <w:left w:val="nil"/>
              <w:bottom w:val="nil"/>
              <w:right w:val="nil"/>
            </w:tcBorders>
            <w:shd w:val="clear" w:color="auto" w:fill="auto"/>
            <w:noWrap/>
            <w:vAlign w:val="center"/>
            <w:hideMark/>
          </w:tcPr>
          <w:p w14:paraId="5F520202" w14:textId="77777777" w:rsidR="00AA40E0" w:rsidRPr="00D63DC0" w:rsidRDefault="00AA40E0" w:rsidP="009B732A">
            <w:pPr>
              <w:rPr>
                <w:color w:val="000000"/>
                <w:sz w:val="20"/>
                <w:szCs w:val="20"/>
              </w:rPr>
            </w:pPr>
            <w:r w:rsidRPr="00D63DC0">
              <w:rPr>
                <w:color w:val="000000"/>
                <w:sz w:val="20"/>
                <w:szCs w:val="20"/>
              </w:rPr>
              <w:t>QIDS</w:t>
            </w:r>
            <w:r>
              <w:rPr>
                <w:color w:val="000000"/>
                <w:sz w:val="20"/>
                <w:szCs w:val="20"/>
              </w:rPr>
              <w:t>-SR</w:t>
            </w:r>
            <w:r w:rsidRPr="00D63DC0">
              <w:rPr>
                <w:color w:val="000000"/>
                <w:sz w:val="20"/>
                <w:szCs w:val="20"/>
              </w:rPr>
              <w:t xml:space="preserve"> Score, </w:t>
            </w:r>
            <w:r w:rsidRPr="00D63DC0">
              <w:rPr>
                <w:i/>
                <w:iCs/>
                <w:color w:val="000000"/>
                <w:sz w:val="20"/>
                <w:szCs w:val="20"/>
              </w:rPr>
              <w:t>M</w:t>
            </w:r>
            <w:r w:rsidRPr="00D63DC0">
              <w:rPr>
                <w:color w:val="000000"/>
                <w:sz w:val="20"/>
                <w:szCs w:val="20"/>
              </w:rPr>
              <w:t>(</w:t>
            </w:r>
            <w:r w:rsidRPr="00D63DC0">
              <w:rPr>
                <w:i/>
                <w:iCs/>
                <w:color w:val="000000"/>
                <w:sz w:val="20"/>
                <w:szCs w:val="20"/>
              </w:rPr>
              <w:t>SD</w:t>
            </w:r>
            <w:r w:rsidRPr="00D63DC0">
              <w:rPr>
                <w:color w:val="000000"/>
                <w:sz w:val="20"/>
                <w:szCs w:val="20"/>
              </w:rPr>
              <w:t>)</w:t>
            </w:r>
            <w:r w:rsidRPr="00D63DC0">
              <w:rPr>
                <w:color w:val="000000"/>
                <w:sz w:val="20"/>
                <w:szCs w:val="20"/>
                <w:vertAlign w:val="superscript"/>
              </w:rPr>
              <w:t>a</w:t>
            </w:r>
          </w:p>
        </w:tc>
        <w:tc>
          <w:tcPr>
            <w:tcW w:w="1327" w:type="dxa"/>
            <w:tcBorders>
              <w:top w:val="nil"/>
              <w:left w:val="nil"/>
              <w:bottom w:val="nil"/>
              <w:right w:val="nil"/>
            </w:tcBorders>
            <w:shd w:val="clear" w:color="auto" w:fill="auto"/>
            <w:noWrap/>
            <w:vAlign w:val="center"/>
            <w:hideMark/>
          </w:tcPr>
          <w:p w14:paraId="6823E655" w14:textId="7EE9C3BE" w:rsidR="00AA40E0" w:rsidRPr="00D63DC0" w:rsidRDefault="00AA40E0" w:rsidP="009B732A">
            <w:pPr>
              <w:jc w:val="center"/>
              <w:rPr>
                <w:color w:val="000000"/>
                <w:sz w:val="20"/>
                <w:szCs w:val="20"/>
              </w:rPr>
            </w:pPr>
            <w:r w:rsidRPr="00D63DC0">
              <w:rPr>
                <w:color w:val="000000"/>
                <w:sz w:val="20"/>
                <w:szCs w:val="20"/>
              </w:rPr>
              <w:t>16.</w:t>
            </w:r>
            <w:r w:rsidR="0010692A">
              <w:rPr>
                <w:color w:val="000000"/>
                <w:sz w:val="20"/>
                <w:szCs w:val="20"/>
              </w:rPr>
              <w:t>33</w:t>
            </w:r>
            <w:r w:rsidRPr="00D63DC0">
              <w:rPr>
                <w:color w:val="000000"/>
                <w:sz w:val="20"/>
                <w:szCs w:val="20"/>
              </w:rPr>
              <w:t>(</w:t>
            </w:r>
            <w:r w:rsidR="0010692A">
              <w:rPr>
                <w:color w:val="000000"/>
                <w:sz w:val="20"/>
                <w:szCs w:val="20"/>
              </w:rPr>
              <w:t>4.47</w:t>
            </w:r>
            <w:r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44484264" w14:textId="0CC9EB51" w:rsidR="00AA40E0" w:rsidRPr="00D63DC0" w:rsidRDefault="0010692A" w:rsidP="009B732A">
            <w:pPr>
              <w:jc w:val="center"/>
              <w:rPr>
                <w:color w:val="000000"/>
                <w:sz w:val="20"/>
                <w:szCs w:val="20"/>
              </w:rPr>
            </w:pPr>
            <w:r>
              <w:rPr>
                <w:color w:val="000000"/>
                <w:sz w:val="20"/>
                <w:szCs w:val="20"/>
              </w:rPr>
              <w:t>16.03</w:t>
            </w:r>
            <w:r w:rsidR="00AA40E0" w:rsidRPr="00D63DC0">
              <w:rPr>
                <w:color w:val="000000"/>
                <w:sz w:val="20"/>
                <w:szCs w:val="20"/>
              </w:rPr>
              <w:t>(</w:t>
            </w:r>
            <w:r>
              <w:rPr>
                <w:color w:val="000000"/>
                <w:sz w:val="20"/>
                <w:szCs w:val="20"/>
              </w:rPr>
              <w:t>3.56</w:t>
            </w:r>
            <w:r w:rsidR="00AA40E0"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05F9C37E" w14:textId="4118E607" w:rsidR="00AA40E0" w:rsidRPr="00D63DC0" w:rsidRDefault="0010692A" w:rsidP="009B732A">
            <w:pPr>
              <w:jc w:val="center"/>
              <w:rPr>
                <w:color w:val="000000"/>
                <w:sz w:val="20"/>
                <w:szCs w:val="20"/>
              </w:rPr>
            </w:pPr>
            <w:r>
              <w:rPr>
                <w:color w:val="000000"/>
                <w:sz w:val="20"/>
                <w:szCs w:val="20"/>
              </w:rPr>
              <w:t>-.034</w:t>
            </w:r>
          </w:p>
        </w:tc>
      </w:tr>
      <w:tr w:rsidR="00AA40E0" w:rsidRPr="00D63DC0" w14:paraId="35031395" w14:textId="77777777" w:rsidTr="009B732A">
        <w:trPr>
          <w:trHeight w:val="260"/>
        </w:trPr>
        <w:tc>
          <w:tcPr>
            <w:tcW w:w="3119" w:type="dxa"/>
            <w:tcBorders>
              <w:top w:val="nil"/>
              <w:left w:val="nil"/>
              <w:bottom w:val="nil"/>
              <w:right w:val="nil"/>
            </w:tcBorders>
            <w:shd w:val="clear" w:color="auto" w:fill="auto"/>
            <w:noWrap/>
            <w:vAlign w:val="center"/>
            <w:hideMark/>
          </w:tcPr>
          <w:p w14:paraId="3A5C924D" w14:textId="77777777" w:rsidR="00AA40E0" w:rsidRPr="00765447" w:rsidRDefault="00AA40E0" w:rsidP="009B732A">
            <w:pPr>
              <w:rPr>
                <w:color w:val="000000"/>
                <w:sz w:val="20"/>
                <w:szCs w:val="20"/>
                <w:lang w:val="it-IT"/>
              </w:rPr>
            </w:pPr>
            <w:r w:rsidRPr="00765447">
              <w:rPr>
                <w:color w:val="000000"/>
                <w:sz w:val="20"/>
                <w:szCs w:val="20"/>
                <w:lang w:val="it-IT"/>
              </w:rPr>
              <w:t xml:space="preserve">AA score, </w:t>
            </w:r>
            <w:r w:rsidRPr="00765447">
              <w:rPr>
                <w:i/>
                <w:iCs/>
                <w:color w:val="000000"/>
                <w:sz w:val="20"/>
                <w:szCs w:val="20"/>
                <w:lang w:val="it-IT"/>
              </w:rPr>
              <w:t>M</w:t>
            </w:r>
            <w:r w:rsidRPr="00765447">
              <w:rPr>
                <w:color w:val="000000"/>
                <w:sz w:val="20"/>
                <w:szCs w:val="20"/>
                <w:lang w:val="it-IT"/>
              </w:rPr>
              <w:t>(</w:t>
            </w:r>
            <w:r w:rsidRPr="00765447">
              <w:rPr>
                <w:i/>
                <w:iCs/>
                <w:color w:val="000000"/>
                <w:sz w:val="20"/>
                <w:szCs w:val="20"/>
                <w:lang w:val="it-IT"/>
              </w:rPr>
              <w:t>SD</w:t>
            </w:r>
            <w:r w:rsidRPr="00765447">
              <w:rPr>
                <w:color w:val="000000"/>
                <w:sz w:val="20"/>
                <w:szCs w:val="20"/>
                <w:lang w:val="it-IT"/>
              </w:rPr>
              <w:t>)</w:t>
            </w:r>
            <w:r w:rsidRPr="00765447">
              <w:rPr>
                <w:color w:val="000000"/>
                <w:sz w:val="20"/>
                <w:szCs w:val="20"/>
                <w:vertAlign w:val="superscript"/>
                <w:lang w:val="it-IT"/>
              </w:rPr>
              <w:t>a</w:t>
            </w:r>
          </w:p>
        </w:tc>
        <w:tc>
          <w:tcPr>
            <w:tcW w:w="1327" w:type="dxa"/>
            <w:tcBorders>
              <w:top w:val="nil"/>
              <w:left w:val="nil"/>
              <w:bottom w:val="nil"/>
              <w:right w:val="nil"/>
            </w:tcBorders>
            <w:shd w:val="clear" w:color="auto" w:fill="auto"/>
            <w:noWrap/>
            <w:vAlign w:val="center"/>
            <w:hideMark/>
          </w:tcPr>
          <w:p w14:paraId="0C655B62" w14:textId="02061755" w:rsidR="00AA40E0" w:rsidRPr="00D63DC0" w:rsidRDefault="0010692A" w:rsidP="009B732A">
            <w:pPr>
              <w:jc w:val="center"/>
              <w:rPr>
                <w:color w:val="000000"/>
                <w:sz w:val="20"/>
                <w:szCs w:val="20"/>
              </w:rPr>
            </w:pPr>
            <w:r>
              <w:rPr>
                <w:color w:val="000000"/>
                <w:sz w:val="20"/>
                <w:szCs w:val="20"/>
              </w:rPr>
              <w:t>35.32</w:t>
            </w:r>
            <w:r w:rsidR="00AA40E0" w:rsidRPr="00D63DC0">
              <w:rPr>
                <w:color w:val="000000"/>
                <w:sz w:val="20"/>
                <w:szCs w:val="20"/>
              </w:rPr>
              <w:t>(11.</w:t>
            </w:r>
            <w:r>
              <w:rPr>
                <w:color w:val="000000"/>
                <w:sz w:val="20"/>
                <w:szCs w:val="20"/>
              </w:rPr>
              <w:t>66</w:t>
            </w:r>
            <w:r w:rsidR="00AA40E0"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276F760D" w14:textId="5144172E" w:rsidR="00AA40E0" w:rsidRPr="00D63DC0" w:rsidRDefault="0010692A" w:rsidP="009B732A">
            <w:pPr>
              <w:jc w:val="center"/>
              <w:rPr>
                <w:color w:val="000000"/>
                <w:sz w:val="20"/>
                <w:szCs w:val="20"/>
              </w:rPr>
            </w:pPr>
            <w:r>
              <w:rPr>
                <w:color w:val="000000"/>
                <w:sz w:val="20"/>
                <w:szCs w:val="20"/>
              </w:rPr>
              <w:t>34.78</w:t>
            </w:r>
            <w:r w:rsidR="00AA40E0" w:rsidRPr="00D63DC0">
              <w:rPr>
                <w:color w:val="000000"/>
                <w:sz w:val="20"/>
                <w:szCs w:val="20"/>
              </w:rPr>
              <w:t>(11.</w:t>
            </w:r>
            <w:r>
              <w:rPr>
                <w:color w:val="000000"/>
                <w:sz w:val="20"/>
                <w:szCs w:val="20"/>
              </w:rPr>
              <w:t>99</w:t>
            </w:r>
            <w:r w:rsidR="00AA40E0"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51C2B0BD" w14:textId="18BE5198" w:rsidR="00AA40E0" w:rsidRPr="00D63DC0" w:rsidRDefault="0010692A" w:rsidP="009B732A">
            <w:pPr>
              <w:jc w:val="center"/>
              <w:rPr>
                <w:color w:val="000000"/>
                <w:sz w:val="20"/>
                <w:szCs w:val="20"/>
              </w:rPr>
            </w:pPr>
            <w:r>
              <w:rPr>
                <w:color w:val="000000"/>
                <w:sz w:val="20"/>
                <w:szCs w:val="20"/>
              </w:rPr>
              <w:t>-0.21</w:t>
            </w:r>
          </w:p>
        </w:tc>
      </w:tr>
      <w:tr w:rsidR="00AA40E0" w:rsidRPr="00D63DC0" w14:paraId="04B3A20F" w14:textId="77777777" w:rsidTr="009B732A">
        <w:trPr>
          <w:trHeight w:val="260"/>
        </w:trPr>
        <w:tc>
          <w:tcPr>
            <w:tcW w:w="3119" w:type="dxa"/>
            <w:tcBorders>
              <w:top w:val="nil"/>
              <w:left w:val="nil"/>
              <w:bottom w:val="nil"/>
              <w:right w:val="nil"/>
            </w:tcBorders>
            <w:shd w:val="clear" w:color="auto" w:fill="auto"/>
            <w:noWrap/>
            <w:vAlign w:val="center"/>
            <w:hideMark/>
          </w:tcPr>
          <w:p w14:paraId="52131B90" w14:textId="77777777" w:rsidR="00AA40E0" w:rsidRPr="00D63DC0" w:rsidRDefault="00AA40E0" w:rsidP="009B732A">
            <w:pPr>
              <w:rPr>
                <w:color w:val="000000"/>
                <w:sz w:val="20"/>
                <w:szCs w:val="20"/>
              </w:rPr>
            </w:pPr>
            <w:r>
              <w:rPr>
                <w:color w:val="000000"/>
                <w:sz w:val="20"/>
                <w:szCs w:val="20"/>
              </w:rPr>
              <w:t>Co-occurring</w:t>
            </w:r>
            <w:r w:rsidRPr="00D63DC0">
              <w:rPr>
                <w:color w:val="000000"/>
                <w:sz w:val="20"/>
                <w:szCs w:val="20"/>
              </w:rPr>
              <w:t xml:space="preserve"> DSM-IV </w:t>
            </w:r>
            <w:proofErr w:type="spellStart"/>
            <w:r w:rsidRPr="00D63DC0">
              <w:rPr>
                <w:color w:val="000000"/>
                <w:sz w:val="20"/>
                <w:szCs w:val="20"/>
              </w:rPr>
              <w:t>Dxs</w:t>
            </w:r>
            <w:proofErr w:type="spellEnd"/>
            <w:r w:rsidRPr="00D63DC0">
              <w:rPr>
                <w:color w:val="000000"/>
                <w:sz w:val="20"/>
                <w:szCs w:val="20"/>
              </w:rPr>
              <w:t xml:space="preserve">, </w:t>
            </w:r>
            <w:proofErr w:type="gramStart"/>
            <w:r w:rsidRPr="00D63DC0">
              <w:rPr>
                <w:i/>
                <w:iCs/>
                <w:color w:val="000000"/>
                <w:sz w:val="20"/>
                <w:szCs w:val="20"/>
              </w:rPr>
              <w:t>n</w:t>
            </w:r>
            <w:r w:rsidRPr="00D63DC0">
              <w:rPr>
                <w:color w:val="000000"/>
                <w:sz w:val="20"/>
                <w:szCs w:val="20"/>
              </w:rPr>
              <w:t>(</w:t>
            </w:r>
            <w:proofErr w:type="gramEnd"/>
            <w:r w:rsidRPr="00D63DC0">
              <w:rPr>
                <w:color w:val="000000"/>
                <w:sz w:val="20"/>
                <w:szCs w:val="20"/>
              </w:rPr>
              <w:t>%)</w:t>
            </w:r>
          </w:p>
        </w:tc>
        <w:tc>
          <w:tcPr>
            <w:tcW w:w="1327" w:type="dxa"/>
            <w:tcBorders>
              <w:top w:val="nil"/>
              <w:left w:val="nil"/>
              <w:bottom w:val="nil"/>
              <w:right w:val="nil"/>
            </w:tcBorders>
            <w:shd w:val="clear" w:color="auto" w:fill="auto"/>
            <w:noWrap/>
            <w:vAlign w:val="center"/>
            <w:hideMark/>
          </w:tcPr>
          <w:p w14:paraId="42153463" w14:textId="0F6B4EF6" w:rsidR="00AA40E0" w:rsidRPr="00D63DC0" w:rsidRDefault="0010692A" w:rsidP="009B732A">
            <w:pPr>
              <w:jc w:val="center"/>
              <w:rPr>
                <w:color w:val="000000"/>
                <w:sz w:val="20"/>
                <w:szCs w:val="20"/>
              </w:rPr>
            </w:pPr>
            <w:r>
              <w:rPr>
                <w:color w:val="000000"/>
                <w:sz w:val="20"/>
                <w:szCs w:val="20"/>
              </w:rPr>
              <w:t>38</w:t>
            </w:r>
            <w:r w:rsidR="00AA40E0" w:rsidRPr="00D63DC0">
              <w:rPr>
                <w:color w:val="000000"/>
                <w:sz w:val="20"/>
                <w:szCs w:val="20"/>
              </w:rPr>
              <w:t>(</w:t>
            </w:r>
            <w:r>
              <w:rPr>
                <w:color w:val="000000"/>
                <w:sz w:val="20"/>
                <w:szCs w:val="20"/>
              </w:rPr>
              <w:t>69.09</w:t>
            </w:r>
            <w:r w:rsidR="00AA40E0" w:rsidRPr="00D63DC0">
              <w:rPr>
                <w:color w:val="000000"/>
                <w:sz w:val="20"/>
                <w:szCs w:val="20"/>
              </w:rPr>
              <w:t>)</w:t>
            </w:r>
          </w:p>
        </w:tc>
        <w:tc>
          <w:tcPr>
            <w:tcW w:w="1280" w:type="dxa"/>
            <w:tcBorders>
              <w:top w:val="nil"/>
              <w:left w:val="nil"/>
              <w:bottom w:val="nil"/>
              <w:right w:val="nil"/>
            </w:tcBorders>
            <w:shd w:val="clear" w:color="auto" w:fill="auto"/>
            <w:noWrap/>
            <w:vAlign w:val="center"/>
            <w:hideMark/>
          </w:tcPr>
          <w:p w14:paraId="428781F9" w14:textId="7A985EE8" w:rsidR="00AA40E0" w:rsidRPr="00D63DC0" w:rsidRDefault="0010692A" w:rsidP="009B732A">
            <w:pPr>
              <w:jc w:val="center"/>
              <w:rPr>
                <w:color w:val="000000"/>
                <w:sz w:val="20"/>
                <w:szCs w:val="20"/>
              </w:rPr>
            </w:pPr>
            <w:r>
              <w:rPr>
                <w:color w:val="000000"/>
                <w:sz w:val="20"/>
                <w:szCs w:val="20"/>
              </w:rPr>
              <w:t>19</w:t>
            </w:r>
            <w:r w:rsidR="00AA40E0" w:rsidRPr="00D63DC0">
              <w:rPr>
                <w:color w:val="000000"/>
                <w:sz w:val="20"/>
                <w:szCs w:val="20"/>
              </w:rPr>
              <w:t>(</w:t>
            </w:r>
            <w:r>
              <w:rPr>
                <w:color w:val="000000"/>
                <w:sz w:val="20"/>
                <w:szCs w:val="20"/>
              </w:rPr>
              <w:t>52.78</w:t>
            </w:r>
            <w:r w:rsidR="00AA40E0" w:rsidRPr="00D63DC0">
              <w:rPr>
                <w:color w:val="000000"/>
                <w:sz w:val="20"/>
                <w:szCs w:val="20"/>
              </w:rPr>
              <w:t>)</w:t>
            </w:r>
          </w:p>
        </w:tc>
        <w:tc>
          <w:tcPr>
            <w:tcW w:w="2144" w:type="dxa"/>
            <w:tcBorders>
              <w:top w:val="nil"/>
              <w:left w:val="nil"/>
              <w:bottom w:val="nil"/>
              <w:right w:val="nil"/>
            </w:tcBorders>
            <w:shd w:val="clear" w:color="auto" w:fill="auto"/>
            <w:noWrap/>
            <w:vAlign w:val="center"/>
            <w:hideMark/>
          </w:tcPr>
          <w:p w14:paraId="78237E5D" w14:textId="2E5AE168" w:rsidR="00AA40E0" w:rsidRPr="00D63DC0" w:rsidRDefault="0010692A" w:rsidP="009B732A">
            <w:pPr>
              <w:jc w:val="center"/>
              <w:rPr>
                <w:color w:val="000000"/>
                <w:sz w:val="20"/>
                <w:szCs w:val="20"/>
              </w:rPr>
            </w:pPr>
            <w:r>
              <w:rPr>
                <w:color w:val="000000"/>
                <w:sz w:val="20"/>
                <w:szCs w:val="20"/>
              </w:rPr>
              <w:t>2.47</w:t>
            </w:r>
          </w:p>
        </w:tc>
      </w:tr>
      <w:tr w:rsidR="00AA40E0" w:rsidRPr="00D63DC0" w14:paraId="322240C5" w14:textId="77777777" w:rsidTr="009B732A">
        <w:trPr>
          <w:trHeight w:val="260"/>
        </w:trPr>
        <w:tc>
          <w:tcPr>
            <w:tcW w:w="3119" w:type="dxa"/>
            <w:tcBorders>
              <w:top w:val="nil"/>
              <w:left w:val="nil"/>
              <w:right w:val="nil"/>
            </w:tcBorders>
            <w:shd w:val="clear" w:color="auto" w:fill="auto"/>
            <w:noWrap/>
            <w:vAlign w:val="center"/>
            <w:hideMark/>
          </w:tcPr>
          <w:p w14:paraId="7A5CDF0E" w14:textId="77777777" w:rsidR="00AA40E0" w:rsidRPr="00D63DC0" w:rsidRDefault="00AA40E0" w:rsidP="009B732A">
            <w:pPr>
              <w:rPr>
                <w:color w:val="000000"/>
                <w:sz w:val="20"/>
                <w:szCs w:val="20"/>
              </w:rPr>
            </w:pPr>
            <w:r w:rsidRPr="00D63DC0">
              <w:rPr>
                <w:color w:val="000000"/>
                <w:sz w:val="20"/>
                <w:szCs w:val="20"/>
              </w:rPr>
              <w:t xml:space="preserve">Number of Episodes, </w:t>
            </w:r>
            <w:r w:rsidRPr="00D63DC0">
              <w:rPr>
                <w:i/>
                <w:iCs/>
                <w:color w:val="000000"/>
                <w:sz w:val="20"/>
                <w:szCs w:val="20"/>
              </w:rPr>
              <w:t>M (SD)</w:t>
            </w:r>
          </w:p>
        </w:tc>
        <w:tc>
          <w:tcPr>
            <w:tcW w:w="1327" w:type="dxa"/>
            <w:tcBorders>
              <w:top w:val="nil"/>
              <w:left w:val="nil"/>
              <w:right w:val="nil"/>
            </w:tcBorders>
            <w:shd w:val="clear" w:color="auto" w:fill="auto"/>
            <w:noWrap/>
            <w:vAlign w:val="center"/>
            <w:hideMark/>
          </w:tcPr>
          <w:p w14:paraId="57E61279" w14:textId="368881C2" w:rsidR="00AA40E0" w:rsidRPr="00D63DC0" w:rsidRDefault="0010692A" w:rsidP="009B732A">
            <w:pPr>
              <w:jc w:val="center"/>
              <w:rPr>
                <w:color w:val="000000"/>
                <w:sz w:val="20"/>
                <w:szCs w:val="20"/>
              </w:rPr>
            </w:pPr>
            <w:r>
              <w:rPr>
                <w:color w:val="000000"/>
                <w:sz w:val="20"/>
                <w:szCs w:val="20"/>
              </w:rPr>
              <w:t>2.75</w:t>
            </w:r>
            <w:r w:rsidR="00AA40E0" w:rsidRPr="00D63DC0">
              <w:rPr>
                <w:color w:val="000000"/>
                <w:sz w:val="20"/>
                <w:szCs w:val="20"/>
              </w:rPr>
              <w:t>(2.</w:t>
            </w:r>
            <w:r>
              <w:rPr>
                <w:color w:val="000000"/>
                <w:sz w:val="20"/>
                <w:szCs w:val="20"/>
              </w:rPr>
              <w:t>55</w:t>
            </w:r>
            <w:r w:rsidR="00AA40E0" w:rsidRPr="00D63DC0">
              <w:rPr>
                <w:color w:val="000000"/>
                <w:sz w:val="20"/>
                <w:szCs w:val="20"/>
              </w:rPr>
              <w:t>)</w:t>
            </w:r>
          </w:p>
        </w:tc>
        <w:tc>
          <w:tcPr>
            <w:tcW w:w="1280" w:type="dxa"/>
            <w:tcBorders>
              <w:top w:val="nil"/>
              <w:left w:val="nil"/>
              <w:right w:val="nil"/>
            </w:tcBorders>
            <w:shd w:val="clear" w:color="auto" w:fill="auto"/>
            <w:noWrap/>
            <w:vAlign w:val="center"/>
            <w:hideMark/>
          </w:tcPr>
          <w:p w14:paraId="305F857F" w14:textId="67389761" w:rsidR="00AA40E0" w:rsidRPr="00D63DC0" w:rsidRDefault="00AA40E0" w:rsidP="009B732A">
            <w:pPr>
              <w:jc w:val="center"/>
              <w:rPr>
                <w:color w:val="000000"/>
                <w:sz w:val="20"/>
                <w:szCs w:val="20"/>
              </w:rPr>
            </w:pPr>
            <w:r w:rsidRPr="00D63DC0">
              <w:rPr>
                <w:color w:val="000000"/>
                <w:sz w:val="20"/>
                <w:szCs w:val="20"/>
              </w:rPr>
              <w:t>2.</w:t>
            </w:r>
            <w:r w:rsidR="0010692A">
              <w:rPr>
                <w:color w:val="000000"/>
                <w:sz w:val="20"/>
                <w:szCs w:val="20"/>
              </w:rPr>
              <w:t>97</w:t>
            </w:r>
            <w:r w:rsidRPr="00D63DC0">
              <w:rPr>
                <w:color w:val="000000"/>
                <w:sz w:val="20"/>
                <w:szCs w:val="20"/>
              </w:rPr>
              <w:t>(</w:t>
            </w:r>
            <w:r w:rsidR="0010692A">
              <w:rPr>
                <w:color w:val="000000"/>
                <w:sz w:val="20"/>
                <w:szCs w:val="20"/>
              </w:rPr>
              <w:t>2.51</w:t>
            </w:r>
            <w:r w:rsidRPr="00D63DC0">
              <w:rPr>
                <w:color w:val="000000"/>
                <w:sz w:val="20"/>
                <w:szCs w:val="20"/>
              </w:rPr>
              <w:t>)</w:t>
            </w:r>
          </w:p>
        </w:tc>
        <w:tc>
          <w:tcPr>
            <w:tcW w:w="2144" w:type="dxa"/>
            <w:tcBorders>
              <w:top w:val="nil"/>
              <w:left w:val="nil"/>
              <w:right w:val="nil"/>
            </w:tcBorders>
            <w:shd w:val="clear" w:color="auto" w:fill="auto"/>
            <w:noWrap/>
            <w:vAlign w:val="center"/>
            <w:hideMark/>
          </w:tcPr>
          <w:p w14:paraId="3284F7C6" w14:textId="7C867B01" w:rsidR="00AA40E0" w:rsidRPr="00D63DC0" w:rsidRDefault="0010692A" w:rsidP="009B732A">
            <w:pPr>
              <w:jc w:val="center"/>
              <w:rPr>
                <w:color w:val="000000"/>
                <w:sz w:val="20"/>
                <w:szCs w:val="20"/>
              </w:rPr>
            </w:pPr>
            <w:r>
              <w:rPr>
                <w:color w:val="000000"/>
                <w:sz w:val="20"/>
                <w:szCs w:val="20"/>
              </w:rPr>
              <w:t>0.41</w:t>
            </w:r>
          </w:p>
        </w:tc>
      </w:tr>
      <w:tr w:rsidR="00AA40E0" w:rsidRPr="00D63DC0" w14:paraId="783C48A3" w14:textId="77777777" w:rsidTr="009B732A">
        <w:trPr>
          <w:trHeight w:val="260"/>
        </w:trPr>
        <w:tc>
          <w:tcPr>
            <w:tcW w:w="3119" w:type="dxa"/>
            <w:tcBorders>
              <w:top w:val="nil"/>
              <w:left w:val="nil"/>
              <w:bottom w:val="single" w:sz="4" w:space="0" w:color="auto"/>
              <w:right w:val="nil"/>
            </w:tcBorders>
            <w:shd w:val="clear" w:color="auto" w:fill="auto"/>
            <w:noWrap/>
            <w:vAlign w:val="center"/>
            <w:hideMark/>
          </w:tcPr>
          <w:p w14:paraId="671B973C" w14:textId="77777777" w:rsidR="00AA40E0" w:rsidRPr="00D63DC0" w:rsidRDefault="00AA40E0" w:rsidP="009B732A">
            <w:pPr>
              <w:rPr>
                <w:color w:val="000000"/>
                <w:sz w:val="20"/>
                <w:szCs w:val="20"/>
              </w:rPr>
            </w:pPr>
            <w:r w:rsidRPr="00D63DC0">
              <w:rPr>
                <w:color w:val="000000"/>
                <w:sz w:val="20"/>
                <w:szCs w:val="20"/>
              </w:rPr>
              <w:t xml:space="preserve">Age of First Onset, </w:t>
            </w:r>
            <w:r w:rsidRPr="00D63DC0">
              <w:rPr>
                <w:i/>
                <w:iCs/>
                <w:color w:val="000000"/>
                <w:sz w:val="20"/>
                <w:szCs w:val="20"/>
              </w:rPr>
              <w:t>M (SD)</w:t>
            </w:r>
          </w:p>
        </w:tc>
        <w:tc>
          <w:tcPr>
            <w:tcW w:w="1327" w:type="dxa"/>
            <w:tcBorders>
              <w:top w:val="nil"/>
              <w:left w:val="nil"/>
              <w:bottom w:val="single" w:sz="4" w:space="0" w:color="auto"/>
              <w:right w:val="nil"/>
            </w:tcBorders>
            <w:shd w:val="clear" w:color="auto" w:fill="auto"/>
            <w:noWrap/>
            <w:vAlign w:val="center"/>
            <w:hideMark/>
          </w:tcPr>
          <w:p w14:paraId="2885D88D" w14:textId="3B84857D" w:rsidR="00AA40E0" w:rsidRPr="00D63DC0" w:rsidRDefault="0010692A" w:rsidP="009B732A">
            <w:pPr>
              <w:jc w:val="center"/>
              <w:rPr>
                <w:color w:val="000000"/>
                <w:sz w:val="20"/>
                <w:szCs w:val="20"/>
              </w:rPr>
            </w:pPr>
            <w:r>
              <w:rPr>
                <w:color w:val="000000"/>
                <w:sz w:val="20"/>
                <w:szCs w:val="20"/>
              </w:rPr>
              <w:t>19.75</w:t>
            </w:r>
            <w:r w:rsidR="00AA40E0" w:rsidRPr="00D63DC0">
              <w:rPr>
                <w:color w:val="000000"/>
                <w:sz w:val="20"/>
                <w:szCs w:val="20"/>
              </w:rPr>
              <w:t>(12.</w:t>
            </w:r>
            <w:r>
              <w:rPr>
                <w:color w:val="000000"/>
                <w:sz w:val="20"/>
                <w:szCs w:val="20"/>
              </w:rPr>
              <w:t>39</w:t>
            </w:r>
            <w:r w:rsidR="00AA40E0" w:rsidRPr="00D63DC0">
              <w:rPr>
                <w:color w:val="000000"/>
                <w:sz w:val="20"/>
                <w:szCs w:val="20"/>
              </w:rPr>
              <w:t>)</w:t>
            </w:r>
          </w:p>
        </w:tc>
        <w:tc>
          <w:tcPr>
            <w:tcW w:w="1280" w:type="dxa"/>
            <w:tcBorders>
              <w:top w:val="nil"/>
              <w:left w:val="nil"/>
              <w:bottom w:val="single" w:sz="4" w:space="0" w:color="auto"/>
              <w:right w:val="nil"/>
            </w:tcBorders>
            <w:shd w:val="clear" w:color="auto" w:fill="auto"/>
            <w:noWrap/>
            <w:vAlign w:val="center"/>
            <w:hideMark/>
          </w:tcPr>
          <w:p w14:paraId="31D16773" w14:textId="0871829B" w:rsidR="00AA40E0" w:rsidRPr="00D63DC0" w:rsidRDefault="0010692A" w:rsidP="009B732A">
            <w:pPr>
              <w:jc w:val="center"/>
              <w:rPr>
                <w:color w:val="000000"/>
                <w:sz w:val="20"/>
                <w:szCs w:val="20"/>
              </w:rPr>
            </w:pPr>
            <w:r>
              <w:rPr>
                <w:color w:val="000000"/>
                <w:sz w:val="20"/>
                <w:szCs w:val="20"/>
              </w:rPr>
              <w:t>19.05</w:t>
            </w:r>
            <w:r w:rsidR="00AA40E0" w:rsidRPr="00D63DC0">
              <w:rPr>
                <w:color w:val="000000"/>
                <w:sz w:val="20"/>
                <w:szCs w:val="20"/>
              </w:rPr>
              <w:t>(</w:t>
            </w:r>
            <w:r>
              <w:rPr>
                <w:color w:val="000000"/>
                <w:sz w:val="20"/>
                <w:szCs w:val="20"/>
              </w:rPr>
              <w:t>10.64</w:t>
            </w:r>
            <w:r w:rsidR="00AA40E0" w:rsidRPr="00D63DC0">
              <w:rPr>
                <w:color w:val="000000"/>
                <w:sz w:val="20"/>
                <w:szCs w:val="20"/>
              </w:rPr>
              <w:t>)</w:t>
            </w:r>
          </w:p>
        </w:tc>
        <w:tc>
          <w:tcPr>
            <w:tcW w:w="2144" w:type="dxa"/>
            <w:tcBorders>
              <w:top w:val="nil"/>
              <w:left w:val="nil"/>
              <w:bottom w:val="single" w:sz="4" w:space="0" w:color="auto"/>
              <w:right w:val="nil"/>
            </w:tcBorders>
            <w:shd w:val="clear" w:color="auto" w:fill="auto"/>
            <w:noWrap/>
            <w:vAlign w:val="center"/>
            <w:hideMark/>
          </w:tcPr>
          <w:p w14:paraId="08246B7D" w14:textId="516EF7BC" w:rsidR="00AA40E0" w:rsidRPr="00D63DC0" w:rsidRDefault="0010692A" w:rsidP="009B732A">
            <w:pPr>
              <w:jc w:val="center"/>
              <w:rPr>
                <w:color w:val="000000"/>
                <w:sz w:val="20"/>
                <w:szCs w:val="20"/>
              </w:rPr>
            </w:pPr>
            <w:r>
              <w:rPr>
                <w:color w:val="000000"/>
                <w:sz w:val="20"/>
                <w:szCs w:val="20"/>
              </w:rPr>
              <w:t>-0.27</w:t>
            </w:r>
          </w:p>
        </w:tc>
      </w:tr>
      <w:tr w:rsidR="009B732A" w:rsidRPr="00D63DC0" w14:paraId="6F751E2C" w14:textId="77777777" w:rsidTr="009B732A">
        <w:trPr>
          <w:trHeight w:val="260"/>
        </w:trPr>
        <w:tc>
          <w:tcPr>
            <w:tcW w:w="7870" w:type="dxa"/>
            <w:gridSpan w:val="4"/>
            <w:tcBorders>
              <w:top w:val="single" w:sz="4" w:space="0" w:color="auto"/>
              <w:left w:val="nil"/>
              <w:right w:val="nil"/>
            </w:tcBorders>
            <w:shd w:val="clear" w:color="auto" w:fill="auto"/>
            <w:noWrap/>
            <w:vAlign w:val="center"/>
          </w:tcPr>
          <w:p w14:paraId="4620B2B8" w14:textId="553A9C3D" w:rsidR="009B732A" w:rsidRPr="009B732A" w:rsidRDefault="009B732A" w:rsidP="009B732A">
            <w:pPr>
              <w:rPr>
                <w:color w:val="000000"/>
                <w:sz w:val="16"/>
                <w:szCs w:val="16"/>
              </w:rPr>
            </w:pPr>
            <w:r w:rsidRPr="00D63DC0">
              <w:rPr>
                <w:i/>
                <w:iCs/>
                <w:color w:val="000000"/>
                <w:sz w:val="16"/>
                <w:szCs w:val="16"/>
              </w:rPr>
              <w:t>Note.</w:t>
            </w:r>
            <w:r w:rsidRPr="00D63DC0">
              <w:rPr>
                <w:color w:val="000000"/>
                <w:sz w:val="16"/>
                <w:szCs w:val="16"/>
              </w:rPr>
              <w:t xml:space="preserve"> AA = Anxious Arousal; CM = Childhood Maltreatment; </w:t>
            </w:r>
            <w:proofErr w:type="spellStart"/>
            <w:r w:rsidRPr="00D63DC0">
              <w:rPr>
                <w:color w:val="000000"/>
                <w:sz w:val="16"/>
                <w:szCs w:val="16"/>
              </w:rPr>
              <w:t>Dxs</w:t>
            </w:r>
            <w:proofErr w:type="spellEnd"/>
            <w:r w:rsidRPr="00D63DC0">
              <w:rPr>
                <w:color w:val="000000"/>
                <w:sz w:val="16"/>
                <w:szCs w:val="16"/>
              </w:rPr>
              <w:t xml:space="preserve"> = Diagnosis; MADRS = Montgomery-</w:t>
            </w:r>
            <w:proofErr w:type="spellStart"/>
            <w:r>
              <w:rPr>
                <w:color w:val="000000"/>
                <w:sz w:val="16"/>
                <w:szCs w:val="16"/>
              </w:rPr>
              <w:t>Å</w:t>
            </w:r>
            <w:r w:rsidRPr="00D63DC0">
              <w:rPr>
                <w:color w:val="000000"/>
                <w:sz w:val="16"/>
                <w:szCs w:val="16"/>
              </w:rPr>
              <w:t>sberg</w:t>
            </w:r>
            <w:proofErr w:type="spellEnd"/>
            <w:r w:rsidRPr="00D63DC0">
              <w:rPr>
                <w:color w:val="000000"/>
                <w:sz w:val="16"/>
                <w:szCs w:val="16"/>
              </w:rPr>
              <w:t xml:space="preserve"> Depression Rating Scale; </w:t>
            </w:r>
            <w:r>
              <w:rPr>
                <w:color w:val="000000"/>
                <w:sz w:val="16"/>
                <w:szCs w:val="16"/>
              </w:rPr>
              <w:t xml:space="preserve">MDD = Major Depressive Disorder; </w:t>
            </w:r>
            <w:r w:rsidRPr="00D63DC0">
              <w:rPr>
                <w:color w:val="000000"/>
                <w:sz w:val="16"/>
                <w:szCs w:val="16"/>
              </w:rPr>
              <w:t>QIDS</w:t>
            </w:r>
            <w:r>
              <w:rPr>
                <w:color w:val="000000"/>
                <w:sz w:val="16"/>
                <w:szCs w:val="16"/>
              </w:rPr>
              <w:t>-SR</w:t>
            </w:r>
            <w:r w:rsidRPr="00D63DC0">
              <w:rPr>
                <w:color w:val="000000"/>
                <w:sz w:val="16"/>
                <w:szCs w:val="16"/>
              </w:rPr>
              <w:t xml:space="preserve"> = Quick Inventory of Depressive Symptomatology</w:t>
            </w:r>
            <w:r>
              <w:rPr>
                <w:color w:val="000000"/>
                <w:sz w:val="16"/>
                <w:szCs w:val="16"/>
              </w:rPr>
              <w:t>-Self Report</w:t>
            </w:r>
            <w:r w:rsidRPr="00D63DC0">
              <w:rPr>
                <w:color w:val="000000"/>
                <w:sz w:val="16"/>
                <w:szCs w:val="16"/>
              </w:rPr>
              <w:t>;</w:t>
            </w:r>
            <w:r>
              <w:rPr>
                <w:color w:val="000000"/>
                <w:sz w:val="16"/>
                <w:szCs w:val="16"/>
              </w:rPr>
              <w:t xml:space="preserve"> </w:t>
            </w:r>
            <w:r w:rsidRPr="00D63DC0">
              <w:rPr>
                <w:color w:val="000000"/>
                <w:sz w:val="16"/>
                <w:szCs w:val="16"/>
              </w:rPr>
              <w:t>Low Income = total household income before taxes &lt; $25 000; High/Medium Income = total household income before taxes &gt; $25 000.</w:t>
            </w:r>
          </w:p>
        </w:tc>
      </w:tr>
    </w:tbl>
    <w:p w14:paraId="73BE3EA8" w14:textId="3FAC51DB" w:rsidR="00AA40E0" w:rsidRDefault="009B732A" w:rsidP="00FA1AD9">
      <w:pPr>
        <w:spacing w:line="480" w:lineRule="auto"/>
        <w:rPr>
          <w:b/>
          <w:bCs/>
        </w:rPr>
      </w:pPr>
      <w:r>
        <w:rPr>
          <w:b/>
          <w:bCs/>
        </w:rPr>
        <w:br w:type="textWrapping" w:clear="all"/>
      </w:r>
    </w:p>
    <w:p w14:paraId="795321CF" w14:textId="3F567B20" w:rsidR="00FA1AD9" w:rsidRPr="007616F3" w:rsidRDefault="00FA1AD9" w:rsidP="00FA1AD9">
      <w:pPr>
        <w:spacing w:line="480" w:lineRule="auto"/>
        <w:rPr>
          <w:b/>
          <w:bCs/>
        </w:rPr>
      </w:pPr>
      <w:r w:rsidRPr="007616F3">
        <w:rPr>
          <w:b/>
          <w:bCs/>
        </w:rPr>
        <w:t>Preliminary Analyses with OEA and PEA</w:t>
      </w:r>
    </w:p>
    <w:p w14:paraId="444BD1A6" w14:textId="6D5C7F13" w:rsidR="00FA1AD9" w:rsidRPr="007616F3" w:rsidRDefault="00FA1AD9" w:rsidP="007616F3">
      <w:pPr>
        <w:spacing w:line="480" w:lineRule="auto"/>
        <w:ind w:firstLine="720"/>
      </w:pPr>
      <w:r w:rsidRPr="007616F3">
        <w:t xml:space="preserve">Neither </w:t>
      </w:r>
      <w:proofErr w:type="spellStart"/>
      <w:r w:rsidRPr="007616F3">
        <w:t>oleoylethanolamide</w:t>
      </w:r>
      <w:proofErr w:type="spellEnd"/>
      <w:r w:rsidRPr="007616F3">
        <w:t xml:space="preserve"> (OEA) nor </w:t>
      </w:r>
      <w:proofErr w:type="spellStart"/>
      <w:r w:rsidRPr="007616F3">
        <w:t>palmitoylethanolamide</w:t>
      </w:r>
      <w:proofErr w:type="spellEnd"/>
      <w:r w:rsidRPr="007616F3">
        <w:t xml:space="preserve"> (PEA) concentrations were significantly related to sex, ethnicity, income group, or within the depressed group, number </w:t>
      </w:r>
      <w:r w:rsidRPr="007616F3">
        <w:lastRenderedPageBreak/>
        <w:t xml:space="preserve">of previous episodes, age at first onset, comorbid diagnosis, or depressive symptoms (MADRS; QIDS; all </w:t>
      </w:r>
      <w:proofErr w:type="spellStart"/>
      <w:r w:rsidRPr="007616F3">
        <w:rPr>
          <w:i/>
          <w:iCs/>
        </w:rPr>
        <w:t>p</w:t>
      </w:r>
      <w:r w:rsidRPr="007616F3">
        <w:t>s</w:t>
      </w:r>
      <w:proofErr w:type="spellEnd"/>
      <w:r w:rsidRPr="007616F3">
        <w:t xml:space="preserve"> &gt; .10). However, OEA concentrations were significantly higher among depressed participants taking psychotropic medication (</w:t>
      </w:r>
      <w:r w:rsidRPr="007616F3">
        <w:rPr>
          <w:i/>
          <w:iCs/>
        </w:rPr>
        <w:t>M</w:t>
      </w:r>
      <w:r w:rsidRPr="007616F3">
        <w:t xml:space="preserve"> = 3.27, </w:t>
      </w:r>
      <w:r w:rsidRPr="007616F3">
        <w:rPr>
          <w:i/>
          <w:iCs/>
        </w:rPr>
        <w:t>SD</w:t>
      </w:r>
      <w:r w:rsidRPr="007616F3">
        <w:t xml:space="preserve"> = 1.56) than those not (</w:t>
      </w:r>
      <w:r w:rsidRPr="007616F3">
        <w:rPr>
          <w:i/>
          <w:iCs/>
        </w:rPr>
        <w:t>M</w:t>
      </w:r>
      <w:r w:rsidRPr="007616F3">
        <w:t xml:space="preserve"> = 2.49, </w:t>
      </w:r>
      <w:r w:rsidRPr="007616F3">
        <w:rPr>
          <w:i/>
          <w:iCs/>
        </w:rPr>
        <w:t>SD</w:t>
      </w:r>
      <w:r w:rsidRPr="007616F3">
        <w:t xml:space="preserve"> = 0.94), </w:t>
      </w:r>
      <w:proofErr w:type="gramStart"/>
      <w:r w:rsidRPr="007616F3">
        <w:rPr>
          <w:i/>
          <w:iCs/>
        </w:rPr>
        <w:t>t</w:t>
      </w:r>
      <w:r w:rsidRPr="007616F3">
        <w:t>(</w:t>
      </w:r>
      <w:proofErr w:type="gramEnd"/>
      <w:r w:rsidRPr="007616F3">
        <w:t xml:space="preserve">88) = -2.67, </w:t>
      </w:r>
      <w:r w:rsidRPr="007616F3">
        <w:rPr>
          <w:i/>
          <w:iCs/>
        </w:rPr>
        <w:t>p</w:t>
      </w:r>
      <w:r w:rsidRPr="007616F3">
        <w:t xml:space="preserve"> = .009. PEA concentrations were significantly higher among older participants, </w:t>
      </w:r>
      <w:r w:rsidRPr="007616F3">
        <w:rPr>
          <w:i/>
          <w:iCs/>
        </w:rPr>
        <w:t>r</w:t>
      </w:r>
      <w:r w:rsidRPr="007616F3">
        <w:t xml:space="preserve"> = .21, </w:t>
      </w:r>
      <w:r w:rsidRPr="007616F3">
        <w:rPr>
          <w:i/>
          <w:iCs/>
        </w:rPr>
        <w:t>p</w:t>
      </w:r>
      <w:r w:rsidRPr="007616F3">
        <w:t xml:space="preserve"> = .010. Including age in the model of PEA did not change the pattern of results; therefore, the uncontrolled models are presented below for ease of interpretability.</w:t>
      </w:r>
    </w:p>
    <w:p w14:paraId="2BB6ACC4" w14:textId="68C2A86E" w:rsidR="00FA1AD9" w:rsidRPr="007616F3" w:rsidRDefault="00FA1AD9" w:rsidP="00FA1AD9">
      <w:pPr>
        <w:spacing w:line="480" w:lineRule="auto"/>
        <w:rPr>
          <w:b/>
          <w:bCs/>
        </w:rPr>
      </w:pPr>
      <w:r w:rsidRPr="007616F3">
        <w:rPr>
          <w:b/>
          <w:bCs/>
        </w:rPr>
        <w:t xml:space="preserve">Severe CM, </w:t>
      </w:r>
      <w:r w:rsidR="008348E2">
        <w:rPr>
          <w:b/>
          <w:bCs/>
        </w:rPr>
        <w:t>MDD</w:t>
      </w:r>
      <w:r w:rsidRPr="007616F3">
        <w:rPr>
          <w:b/>
          <w:bCs/>
        </w:rPr>
        <w:t xml:space="preserve"> &amp; NAEs</w:t>
      </w:r>
    </w:p>
    <w:p w14:paraId="1A0E9E6B" w14:textId="6C06B846" w:rsidR="00FA1AD9" w:rsidRPr="007616F3" w:rsidRDefault="00FA1AD9" w:rsidP="00FA1AD9">
      <w:pPr>
        <w:spacing w:line="480" w:lineRule="auto"/>
        <w:ind w:firstLine="720"/>
      </w:pPr>
      <w:r w:rsidRPr="007616F3">
        <w:rPr>
          <w:b/>
          <w:bCs/>
          <w:i/>
          <w:iCs/>
        </w:rPr>
        <w:t>OEA.</w:t>
      </w:r>
      <w:r w:rsidRPr="007616F3">
        <w:t xml:space="preserve"> The model predicting OEA was not statistically significant, </w:t>
      </w:r>
      <w:r w:rsidRPr="007616F3">
        <w:rPr>
          <w:i/>
          <w:iCs/>
        </w:rPr>
        <w:t>R</w:t>
      </w:r>
      <w:r w:rsidRPr="007616F3">
        <w:rPr>
          <w:vertAlign w:val="superscript"/>
        </w:rPr>
        <w:t>2</w:t>
      </w:r>
      <w:r w:rsidRPr="007616F3">
        <w:t xml:space="preserve"> = .04, </w:t>
      </w:r>
      <w:proofErr w:type="gramStart"/>
      <w:r w:rsidRPr="007616F3">
        <w:rPr>
          <w:i/>
          <w:iCs/>
        </w:rPr>
        <w:t>F</w:t>
      </w:r>
      <w:r w:rsidRPr="007616F3">
        <w:t>(</w:t>
      </w:r>
      <w:proofErr w:type="gramEnd"/>
      <w:r w:rsidRPr="007616F3">
        <w:t xml:space="preserve">3, 149) = 1.81, </w:t>
      </w:r>
      <w:r w:rsidRPr="007616F3">
        <w:rPr>
          <w:i/>
          <w:iCs/>
        </w:rPr>
        <w:t>p</w:t>
      </w:r>
      <w:r w:rsidRPr="007616F3">
        <w:t xml:space="preserve"> = .147. Further, none of the main effects of severe CM, </w:t>
      </w:r>
      <w:r w:rsidR="008443CF">
        <w:t>MDD</w:t>
      </w:r>
      <w:r w:rsidRPr="007616F3">
        <w:t>, or their interaction were significant (</w:t>
      </w:r>
      <w:proofErr w:type="spellStart"/>
      <w:r w:rsidRPr="007616F3">
        <w:rPr>
          <w:i/>
          <w:iCs/>
        </w:rPr>
        <w:t>p</w:t>
      </w:r>
      <w:r w:rsidRPr="007616F3">
        <w:t>s</w:t>
      </w:r>
      <w:proofErr w:type="spellEnd"/>
      <w:r w:rsidRPr="007616F3">
        <w:t xml:space="preserve"> &gt; .328; upper panel of Supplement Table </w:t>
      </w:r>
      <w:r w:rsidR="00AA40E0">
        <w:t>2</w:t>
      </w:r>
      <w:r w:rsidRPr="007616F3">
        <w:t xml:space="preserve">). </w:t>
      </w:r>
    </w:p>
    <w:p w14:paraId="3DE01FBA" w14:textId="7D74122D" w:rsidR="00FA1AD9" w:rsidRPr="007616F3" w:rsidRDefault="00FA1AD9" w:rsidP="00FA1AD9">
      <w:pPr>
        <w:spacing w:line="480" w:lineRule="auto"/>
      </w:pPr>
      <w:r w:rsidRPr="007616F3">
        <w:tab/>
      </w:r>
      <w:r w:rsidRPr="007616F3">
        <w:rPr>
          <w:b/>
          <w:bCs/>
          <w:i/>
          <w:iCs/>
        </w:rPr>
        <w:t>PEA.</w:t>
      </w:r>
      <w:r w:rsidRPr="007616F3">
        <w:t xml:space="preserve"> The model predicting PEA was not statistically significant, </w:t>
      </w:r>
      <w:r w:rsidRPr="007616F3">
        <w:rPr>
          <w:i/>
          <w:iCs/>
        </w:rPr>
        <w:t>R</w:t>
      </w:r>
      <w:r w:rsidRPr="007616F3">
        <w:rPr>
          <w:vertAlign w:val="superscript"/>
        </w:rPr>
        <w:t>2</w:t>
      </w:r>
      <w:r w:rsidRPr="007616F3">
        <w:t xml:space="preserve"> = .05, </w:t>
      </w:r>
      <w:proofErr w:type="gramStart"/>
      <w:r w:rsidRPr="007616F3">
        <w:rPr>
          <w:i/>
          <w:iCs/>
        </w:rPr>
        <w:t>F</w:t>
      </w:r>
      <w:r w:rsidRPr="007616F3">
        <w:t>(</w:t>
      </w:r>
      <w:proofErr w:type="gramEnd"/>
      <w:r w:rsidRPr="007616F3">
        <w:t xml:space="preserve">3, 149) = 2.41, </w:t>
      </w:r>
      <w:r w:rsidRPr="007616F3">
        <w:rPr>
          <w:i/>
          <w:iCs/>
        </w:rPr>
        <w:t>p</w:t>
      </w:r>
      <w:r w:rsidRPr="007616F3">
        <w:t xml:space="preserve"> = .070. However, the main effects and interaction term of severe CM and </w:t>
      </w:r>
      <w:r w:rsidR="008443CF">
        <w:t>MDD</w:t>
      </w:r>
      <w:r w:rsidRPr="007616F3">
        <w:t xml:space="preserve"> were significant (see lower panel of Supplemental Table </w:t>
      </w:r>
      <w:r w:rsidR="00AA40E0">
        <w:t>2</w:t>
      </w:r>
      <w:r w:rsidRPr="007616F3">
        <w:t xml:space="preserve">). PEA concentrations were higher among healthy comparison participants with severe CM than healthy comparison participants with no severe CM, </w:t>
      </w:r>
      <w:r w:rsidRPr="007616F3">
        <w:rPr>
          <w:i/>
          <w:iCs/>
        </w:rPr>
        <w:t>t</w:t>
      </w:r>
      <w:r w:rsidRPr="007616F3">
        <w:t xml:space="preserve"> = 2.02, </w:t>
      </w:r>
      <w:r w:rsidRPr="007616F3">
        <w:rPr>
          <w:i/>
          <w:iCs/>
        </w:rPr>
        <w:t>p</w:t>
      </w:r>
      <w:r w:rsidRPr="007616F3">
        <w:t xml:space="preserve"> = .045 (95% CI 0.01-1.24). PEA concentrations did not significantly differ between depressed participants with and without severe CM, </w:t>
      </w:r>
      <w:r w:rsidRPr="007616F3">
        <w:rPr>
          <w:i/>
          <w:iCs/>
        </w:rPr>
        <w:t>t</w:t>
      </w:r>
      <w:r w:rsidRPr="007616F3">
        <w:t xml:space="preserve"> = -0.99, </w:t>
      </w:r>
      <w:r w:rsidRPr="007616F3">
        <w:rPr>
          <w:i/>
          <w:iCs/>
        </w:rPr>
        <w:t>p</w:t>
      </w:r>
      <w:r w:rsidRPr="007616F3">
        <w:t xml:space="preserve"> = .325 (95% CI -0.72-0.24).</w:t>
      </w:r>
    </w:p>
    <w:p w14:paraId="5A2DE687" w14:textId="04F4590D" w:rsidR="00FA1AD9" w:rsidRPr="007616F3" w:rsidRDefault="00FA1AD9" w:rsidP="00FA1AD9">
      <w:pPr>
        <w:spacing w:line="480" w:lineRule="auto"/>
        <w:rPr>
          <w:b/>
          <w:bCs/>
        </w:rPr>
      </w:pPr>
      <w:r w:rsidRPr="007616F3">
        <w:rPr>
          <w:b/>
          <w:bCs/>
        </w:rPr>
        <w:t xml:space="preserve">Severe CM, </w:t>
      </w:r>
      <w:r w:rsidR="008348E2">
        <w:rPr>
          <w:b/>
          <w:bCs/>
        </w:rPr>
        <w:t>MDD</w:t>
      </w:r>
      <w:r w:rsidRPr="007616F3">
        <w:rPr>
          <w:b/>
          <w:bCs/>
        </w:rPr>
        <w:t xml:space="preserve">, NAEs and </w:t>
      </w:r>
      <w:r w:rsidRPr="007616F3">
        <w:rPr>
          <w:b/>
        </w:rPr>
        <w:t>Hippocampal Volume</w:t>
      </w:r>
    </w:p>
    <w:p w14:paraId="2DF1BF95" w14:textId="08CA4620" w:rsidR="00FA1AD9" w:rsidRPr="007616F3" w:rsidRDefault="00FA1AD9" w:rsidP="00FA1AD9">
      <w:pPr>
        <w:spacing w:line="480" w:lineRule="auto"/>
        <w:ind w:firstLine="720"/>
      </w:pPr>
      <w:r w:rsidRPr="007616F3">
        <w:rPr>
          <w:b/>
          <w:bCs/>
          <w:i/>
          <w:iCs/>
        </w:rPr>
        <w:t>OEA.</w:t>
      </w:r>
      <w:r w:rsidRPr="007616F3">
        <w:t xml:space="preserve"> Neither the model predicting left or right hippocampal volume were significant, </w:t>
      </w:r>
      <w:r w:rsidRPr="007616F3">
        <w:rPr>
          <w:i/>
          <w:iCs/>
        </w:rPr>
        <w:t>R</w:t>
      </w:r>
      <w:r w:rsidRPr="007616F3">
        <w:rPr>
          <w:vertAlign w:val="superscript"/>
        </w:rPr>
        <w:t>2</w:t>
      </w:r>
      <w:r w:rsidRPr="007616F3">
        <w:t xml:space="preserve"> = .03, </w:t>
      </w:r>
      <w:proofErr w:type="gramStart"/>
      <w:r w:rsidRPr="007616F3">
        <w:rPr>
          <w:i/>
          <w:iCs/>
        </w:rPr>
        <w:t>F</w:t>
      </w:r>
      <w:r w:rsidRPr="007616F3">
        <w:t>(</w:t>
      </w:r>
      <w:proofErr w:type="gramEnd"/>
      <w:r w:rsidRPr="007616F3">
        <w:t xml:space="preserve">5, 133) = 0.93, </w:t>
      </w:r>
      <w:r w:rsidRPr="007616F3">
        <w:rPr>
          <w:i/>
          <w:iCs/>
        </w:rPr>
        <w:t>p</w:t>
      </w:r>
      <w:r w:rsidRPr="007616F3">
        <w:t xml:space="preserve"> = .462 and </w:t>
      </w:r>
      <w:r w:rsidRPr="007616F3">
        <w:rPr>
          <w:i/>
          <w:iCs/>
        </w:rPr>
        <w:t>R</w:t>
      </w:r>
      <w:r w:rsidRPr="007616F3">
        <w:rPr>
          <w:vertAlign w:val="superscript"/>
        </w:rPr>
        <w:t>2</w:t>
      </w:r>
      <w:r w:rsidRPr="007616F3">
        <w:t xml:space="preserve"> = .02, </w:t>
      </w:r>
      <w:r w:rsidRPr="007616F3">
        <w:rPr>
          <w:i/>
          <w:iCs/>
        </w:rPr>
        <w:t>F</w:t>
      </w:r>
      <w:r w:rsidRPr="007616F3">
        <w:t xml:space="preserve">(5, 133) = 0.61, </w:t>
      </w:r>
      <w:r w:rsidRPr="007616F3">
        <w:rPr>
          <w:i/>
          <w:iCs/>
        </w:rPr>
        <w:t>p</w:t>
      </w:r>
      <w:r w:rsidRPr="007616F3">
        <w:t xml:space="preserve"> = .694, and neither were any of the main effects of </w:t>
      </w:r>
      <w:r w:rsidR="008443CF">
        <w:t>MDD</w:t>
      </w:r>
      <w:r w:rsidRPr="007616F3">
        <w:t xml:space="preserve"> status, OEA, or interaction terms in the model, </w:t>
      </w:r>
      <w:proofErr w:type="spellStart"/>
      <w:r w:rsidRPr="007616F3">
        <w:rPr>
          <w:i/>
          <w:iCs/>
        </w:rPr>
        <w:t>p</w:t>
      </w:r>
      <w:r w:rsidRPr="007616F3">
        <w:t>s</w:t>
      </w:r>
      <w:proofErr w:type="spellEnd"/>
      <w:r w:rsidRPr="007616F3">
        <w:t xml:space="preserve"> &gt; .080.</w:t>
      </w:r>
    </w:p>
    <w:p w14:paraId="2E4F783E" w14:textId="022BF472" w:rsidR="00FA1AD9" w:rsidRDefault="00FA1AD9" w:rsidP="00FA1AD9">
      <w:pPr>
        <w:spacing w:line="480" w:lineRule="auto"/>
        <w:ind w:firstLine="720"/>
      </w:pPr>
      <w:r w:rsidRPr="007616F3">
        <w:rPr>
          <w:b/>
          <w:bCs/>
          <w:i/>
          <w:iCs/>
        </w:rPr>
        <w:lastRenderedPageBreak/>
        <w:t>PEA.</w:t>
      </w:r>
      <w:r w:rsidRPr="007616F3">
        <w:t xml:space="preserve"> Neither the model predicting left or right hippocampal volume were significant, </w:t>
      </w:r>
      <w:r w:rsidRPr="007616F3">
        <w:rPr>
          <w:i/>
          <w:iCs/>
        </w:rPr>
        <w:t>R</w:t>
      </w:r>
      <w:r w:rsidRPr="007616F3">
        <w:rPr>
          <w:vertAlign w:val="superscript"/>
        </w:rPr>
        <w:t>2</w:t>
      </w:r>
      <w:r w:rsidRPr="007616F3">
        <w:t xml:space="preserve"> = .03, </w:t>
      </w:r>
      <w:proofErr w:type="gramStart"/>
      <w:r w:rsidRPr="007616F3">
        <w:rPr>
          <w:i/>
          <w:iCs/>
        </w:rPr>
        <w:t>F</w:t>
      </w:r>
      <w:r w:rsidRPr="007616F3">
        <w:t>(</w:t>
      </w:r>
      <w:proofErr w:type="gramEnd"/>
      <w:r w:rsidRPr="007616F3">
        <w:t xml:space="preserve">5, 133) = 1.06, </w:t>
      </w:r>
      <w:r w:rsidRPr="007616F3">
        <w:rPr>
          <w:i/>
          <w:iCs/>
        </w:rPr>
        <w:t>p</w:t>
      </w:r>
      <w:r w:rsidRPr="007616F3">
        <w:t xml:space="preserve"> = .384 and </w:t>
      </w:r>
      <w:r w:rsidRPr="007616F3">
        <w:rPr>
          <w:i/>
          <w:iCs/>
        </w:rPr>
        <w:t>R</w:t>
      </w:r>
      <w:r w:rsidRPr="007616F3">
        <w:rPr>
          <w:vertAlign w:val="superscript"/>
        </w:rPr>
        <w:t>2</w:t>
      </w:r>
      <w:r w:rsidRPr="007616F3">
        <w:t xml:space="preserve"> = .02, </w:t>
      </w:r>
      <w:r w:rsidRPr="007616F3">
        <w:rPr>
          <w:i/>
          <w:iCs/>
        </w:rPr>
        <w:t>F</w:t>
      </w:r>
      <w:r w:rsidRPr="007616F3">
        <w:t xml:space="preserve">(5, 133) = 0.64, </w:t>
      </w:r>
      <w:r w:rsidRPr="007616F3">
        <w:rPr>
          <w:i/>
          <w:iCs/>
        </w:rPr>
        <w:t>p</w:t>
      </w:r>
      <w:r w:rsidRPr="007616F3">
        <w:t xml:space="preserve"> = .667, and neither were any of the main effects of </w:t>
      </w:r>
      <w:r w:rsidR="008443CF">
        <w:t>MDD</w:t>
      </w:r>
      <w:r w:rsidRPr="007616F3">
        <w:t xml:space="preserve"> status, PEA, or interaction terms in the model, </w:t>
      </w:r>
      <w:proofErr w:type="spellStart"/>
      <w:r w:rsidRPr="007616F3">
        <w:rPr>
          <w:i/>
          <w:iCs/>
        </w:rPr>
        <w:t>p</w:t>
      </w:r>
      <w:r w:rsidRPr="007616F3">
        <w:t>s</w:t>
      </w:r>
      <w:proofErr w:type="spellEnd"/>
      <w:r w:rsidRPr="007616F3">
        <w:t xml:space="preserve"> &gt; .111.</w:t>
      </w:r>
    </w:p>
    <w:p w14:paraId="20BCD000" w14:textId="77777777" w:rsidR="007616F3" w:rsidRPr="007616F3" w:rsidRDefault="007616F3" w:rsidP="00FA1AD9">
      <w:pPr>
        <w:spacing w:line="480" w:lineRule="auto"/>
        <w:ind w:firstLine="720"/>
      </w:pPr>
    </w:p>
    <w:tbl>
      <w:tblPr>
        <w:tblW w:w="8260" w:type="dxa"/>
        <w:tblLook w:val="04A0" w:firstRow="1" w:lastRow="0" w:firstColumn="1" w:lastColumn="0" w:noHBand="0" w:noVBand="1"/>
      </w:tblPr>
      <w:tblGrid>
        <w:gridCol w:w="1760"/>
        <w:gridCol w:w="1300"/>
        <w:gridCol w:w="1300"/>
        <w:gridCol w:w="1300"/>
        <w:gridCol w:w="1300"/>
        <w:gridCol w:w="1300"/>
      </w:tblGrid>
      <w:tr w:rsidR="007616F3" w:rsidRPr="007616F3" w14:paraId="03BBD1B8" w14:textId="77777777" w:rsidTr="00BF75F6">
        <w:trPr>
          <w:trHeight w:val="640"/>
        </w:trPr>
        <w:tc>
          <w:tcPr>
            <w:tcW w:w="8260" w:type="dxa"/>
            <w:gridSpan w:val="6"/>
            <w:tcBorders>
              <w:top w:val="nil"/>
              <w:left w:val="nil"/>
              <w:bottom w:val="nil"/>
              <w:right w:val="nil"/>
            </w:tcBorders>
            <w:shd w:val="clear" w:color="auto" w:fill="auto"/>
            <w:vAlign w:val="center"/>
            <w:hideMark/>
          </w:tcPr>
          <w:p w14:paraId="6B1AF1D1" w14:textId="5C59E952" w:rsidR="007616F3" w:rsidRPr="007616F3" w:rsidRDefault="007616F3" w:rsidP="00BF75F6">
            <w:pPr>
              <w:rPr>
                <w:b/>
                <w:bCs/>
                <w:color w:val="000000"/>
                <w:sz w:val="20"/>
                <w:szCs w:val="20"/>
              </w:rPr>
            </w:pPr>
            <w:r w:rsidRPr="007616F3">
              <w:rPr>
                <w:b/>
                <w:bCs/>
                <w:color w:val="000000"/>
                <w:sz w:val="20"/>
                <w:szCs w:val="20"/>
              </w:rPr>
              <w:t xml:space="preserve">Supplement Table </w:t>
            </w:r>
            <w:r w:rsidR="00AA40E0">
              <w:rPr>
                <w:b/>
                <w:bCs/>
                <w:color w:val="000000"/>
                <w:sz w:val="20"/>
                <w:szCs w:val="20"/>
              </w:rPr>
              <w:t>2</w:t>
            </w:r>
            <w:r w:rsidRPr="007616F3">
              <w:rPr>
                <w:b/>
                <w:bCs/>
                <w:color w:val="000000"/>
                <w:sz w:val="20"/>
                <w:szCs w:val="20"/>
              </w:rPr>
              <w:t xml:space="preserve">. Regression Coefficients for Relation of Severe </w:t>
            </w:r>
            <w:r w:rsidR="00696A61">
              <w:rPr>
                <w:b/>
                <w:bCs/>
                <w:color w:val="000000"/>
                <w:sz w:val="20"/>
                <w:szCs w:val="20"/>
              </w:rPr>
              <w:t>CM</w:t>
            </w:r>
            <w:r w:rsidRPr="007616F3">
              <w:rPr>
                <w:b/>
                <w:bCs/>
                <w:color w:val="000000"/>
                <w:sz w:val="20"/>
                <w:szCs w:val="20"/>
              </w:rPr>
              <w:t xml:space="preserve">, </w:t>
            </w:r>
            <w:r w:rsidR="00696A61">
              <w:rPr>
                <w:b/>
                <w:bCs/>
                <w:color w:val="000000"/>
                <w:sz w:val="20"/>
                <w:szCs w:val="20"/>
              </w:rPr>
              <w:t>MDD</w:t>
            </w:r>
            <w:r w:rsidRPr="007616F3">
              <w:rPr>
                <w:b/>
                <w:bCs/>
                <w:color w:val="000000"/>
                <w:sz w:val="20"/>
                <w:szCs w:val="20"/>
              </w:rPr>
              <w:t>, and N-</w:t>
            </w:r>
            <w:proofErr w:type="spellStart"/>
            <w:r w:rsidRPr="007616F3">
              <w:rPr>
                <w:b/>
                <w:bCs/>
                <w:color w:val="000000"/>
                <w:sz w:val="20"/>
                <w:szCs w:val="20"/>
              </w:rPr>
              <w:t>acylethanolamides</w:t>
            </w:r>
            <w:proofErr w:type="spellEnd"/>
            <w:r w:rsidRPr="007616F3">
              <w:rPr>
                <w:b/>
                <w:bCs/>
                <w:color w:val="000000"/>
                <w:sz w:val="20"/>
                <w:szCs w:val="20"/>
              </w:rPr>
              <w:t xml:space="preserve"> (NAEs)</w:t>
            </w:r>
          </w:p>
        </w:tc>
      </w:tr>
      <w:tr w:rsidR="007616F3" w:rsidRPr="007616F3" w14:paraId="7B75105A" w14:textId="77777777" w:rsidTr="00BF75F6">
        <w:trPr>
          <w:trHeight w:val="360"/>
        </w:trPr>
        <w:tc>
          <w:tcPr>
            <w:tcW w:w="8260" w:type="dxa"/>
            <w:gridSpan w:val="6"/>
            <w:tcBorders>
              <w:top w:val="single" w:sz="8" w:space="0" w:color="auto"/>
              <w:left w:val="nil"/>
              <w:bottom w:val="nil"/>
              <w:right w:val="nil"/>
            </w:tcBorders>
            <w:shd w:val="clear" w:color="auto" w:fill="auto"/>
            <w:vAlign w:val="center"/>
            <w:hideMark/>
          </w:tcPr>
          <w:p w14:paraId="57693DCF" w14:textId="77777777" w:rsidR="007616F3" w:rsidRPr="007616F3" w:rsidRDefault="007616F3" w:rsidP="00BF75F6">
            <w:pPr>
              <w:rPr>
                <w:b/>
                <w:bCs/>
                <w:i/>
                <w:iCs/>
                <w:color w:val="000000"/>
                <w:sz w:val="20"/>
                <w:szCs w:val="20"/>
              </w:rPr>
            </w:pPr>
            <w:r w:rsidRPr="007616F3">
              <w:rPr>
                <w:b/>
                <w:bCs/>
                <w:i/>
                <w:iCs/>
                <w:color w:val="000000"/>
                <w:sz w:val="20"/>
                <w:szCs w:val="20"/>
              </w:rPr>
              <w:t>DV: OEA (n = 153)</w:t>
            </w:r>
          </w:p>
        </w:tc>
      </w:tr>
      <w:tr w:rsidR="007616F3" w:rsidRPr="007616F3" w14:paraId="0B37299A" w14:textId="77777777" w:rsidTr="00BF75F6">
        <w:trPr>
          <w:trHeight w:val="360"/>
        </w:trPr>
        <w:tc>
          <w:tcPr>
            <w:tcW w:w="1760" w:type="dxa"/>
            <w:tcBorders>
              <w:top w:val="single" w:sz="4" w:space="0" w:color="auto"/>
              <w:left w:val="nil"/>
              <w:bottom w:val="single" w:sz="4" w:space="0" w:color="auto"/>
              <w:right w:val="nil"/>
            </w:tcBorders>
            <w:shd w:val="clear" w:color="auto" w:fill="auto"/>
            <w:vAlign w:val="center"/>
            <w:hideMark/>
          </w:tcPr>
          <w:p w14:paraId="55014AF3" w14:textId="77777777" w:rsidR="007616F3" w:rsidRPr="007616F3" w:rsidRDefault="007616F3" w:rsidP="00BF75F6">
            <w:pPr>
              <w:rPr>
                <w:b/>
                <w:bCs/>
                <w:color w:val="000000"/>
                <w:sz w:val="20"/>
                <w:szCs w:val="20"/>
              </w:rPr>
            </w:pPr>
            <w:r w:rsidRPr="007616F3">
              <w:rPr>
                <w:b/>
                <w:bCs/>
                <w:color w:val="000000"/>
                <w:sz w:val="20"/>
                <w:szCs w:val="20"/>
              </w:rPr>
              <w:t> </w:t>
            </w:r>
          </w:p>
        </w:tc>
        <w:tc>
          <w:tcPr>
            <w:tcW w:w="1300" w:type="dxa"/>
            <w:tcBorders>
              <w:top w:val="single" w:sz="4" w:space="0" w:color="auto"/>
              <w:left w:val="nil"/>
              <w:bottom w:val="single" w:sz="4" w:space="0" w:color="auto"/>
              <w:right w:val="nil"/>
            </w:tcBorders>
            <w:shd w:val="clear" w:color="auto" w:fill="auto"/>
            <w:vAlign w:val="center"/>
            <w:hideMark/>
          </w:tcPr>
          <w:p w14:paraId="2DA528AA" w14:textId="77777777" w:rsidR="007616F3" w:rsidRPr="007616F3" w:rsidRDefault="007616F3" w:rsidP="00BF75F6">
            <w:pPr>
              <w:jc w:val="center"/>
              <w:rPr>
                <w:b/>
                <w:bCs/>
                <w:i/>
                <w:iCs/>
                <w:color w:val="000000"/>
                <w:sz w:val="20"/>
                <w:szCs w:val="20"/>
              </w:rPr>
            </w:pPr>
            <w:r w:rsidRPr="007616F3">
              <w:rPr>
                <w:b/>
                <w:bCs/>
                <w:i/>
                <w:iCs/>
                <w:color w:val="000000"/>
                <w:sz w:val="20"/>
                <w:szCs w:val="20"/>
              </w:rPr>
              <w:t>B</w:t>
            </w:r>
          </w:p>
        </w:tc>
        <w:tc>
          <w:tcPr>
            <w:tcW w:w="1300" w:type="dxa"/>
            <w:tcBorders>
              <w:top w:val="single" w:sz="4" w:space="0" w:color="auto"/>
              <w:left w:val="nil"/>
              <w:bottom w:val="single" w:sz="4" w:space="0" w:color="auto"/>
              <w:right w:val="nil"/>
            </w:tcBorders>
            <w:shd w:val="clear" w:color="auto" w:fill="auto"/>
            <w:vAlign w:val="center"/>
            <w:hideMark/>
          </w:tcPr>
          <w:p w14:paraId="3415DA2D" w14:textId="77777777" w:rsidR="007616F3" w:rsidRPr="007616F3" w:rsidRDefault="007616F3" w:rsidP="00BF75F6">
            <w:pPr>
              <w:jc w:val="center"/>
              <w:rPr>
                <w:b/>
                <w:bCs/>
                <w:color w:val="000000"/>
                <w:sz w:val="20"/>
                <w:szCs w:val="20"/>
              </w:rPr>
            </w:pPr>
            <w:r w:rsidRPr="007616F3">
              <w:rPr>
                <w:b/>
                <w:bCs/>
                <w:color w:val="000000"/>
                <w:sz w:val="20"/>
                <w:szCs w:val="20"/>
              </w:rPr>
              <w:t>robust SE</w:t>
            </w:r>
          </w:p>
        </w:tc>
        <w:tc>
          <w:tcPr>
            <w:tcW w:w="1300" w:type="dxa"/>
            <w:tcBorders>
              <w:top w:val="single" w:sz="4" w:space="0" w:color="auto"/>
              <w:left w:val="nil"/>
              <w:bottom w:val="single" w:sz="4" w:space="0" w:color="auto"/>
              <w:right w:val="nil"/>
            </w:tcBorders>
            <w:shd w:val="clear" w:color="auto" w:fill="auto"/>
            <w:vAlign w:val="center"/>
            <w:hideMark/>
          </w:tcPr>
          <w:p w14:paraId="455FB0B6" w14:textId="77777777" w:rsidR="007616F3" w:rsidRPr="007616F3" w:rsidRDefault="007616F3" w:rsidP="00BF75F6">
            <w:pPr>
              <w:jc w:val="center"/>
              <w:rPr>
                <w:b/>
                <w:bCs/>
                <w:i/>
                <w:iCs/>
                <w:color w:val="000000"/>
                <w:sz w:val="20"/>
                <w:szCs w:val="20"/>
              </w:rPr>
            </w:pPr>
            <w:r w:rsidRPr="007616F3">
              <w:rPr>
                <w:b/>
                <w:bCs/>
                <w:i/>
                <w:iCs/>
                <w:color w:val="000000"/>
                <w:sz w:val="20"/>
                <w:szCs w:val="20"/>
              </w:rPr>
              <w:t>t</w:t>
            </w:r>
          </w:p>
        </w:tc>
        <w:tc>
          <w:tcPr>
            <w:tcW w:w="1300" w:type="dxa"/>
            <w:tcBorders>
              <w:top w:val="single" w:sz="4" w:space="0" w:color="auto"/>
              <w:left w:val="nil"/>
              <w:bottom w:val="single" w:sz="4" w:space="0" w:color="auto"/>
              <w:right w:val="nil"/>
            </w:tcBorders>
            <w:shd w:val="clear" w:color="auto" w:fill="auto"/>
            <w:vAlign w:val="center"/>
            <w:hideMark/>
          </w:tcPr>
          <w:p w14:paraId="030B1116" w14:textId="77777777" w:rsidR="007616F3" w:rsidRPr="007616F3" w:rsidRDefault="007616F3" w:rsidP="00BF75F6">
            <w:pPr>
              <w:jc w:val="center"/>
              <w:rPr>
                <w:b/>
                <w:bCs/>
                <w:i/>
                <w:iCs/>
                <w:color w:val="000000"/>
                <w:sz w:val="20"/>
                <w:szCs w:val="20"/>
              </w:rPr>
            </w:pPr>
            <w:r w:rsidRPr="007616F3">
              <w:rPr>
                <w:b/>
                <w:bCs/>
                <w:i/>
                <w:iCs/>
                <w:color w:val="000000"/>
                <w:sz w:val="20"/>
                <w:szCs w:val="20"/>
              </w:rPr>
              <w:t>p</w:t>
            </w:r>
          </w:p>
        </w:tc>
        <w:tc>
          <w:tcPr>
            <w:tcW w:w="1300" w:type="dxa"/>
            <w:tcBorders>
              <w:top w:val="single" w:sz="4" w:space="0" w:color="auto"/>
              <w:left w:val="nil"/>
              <w:bottom w:val="single" w:sz="4" w:space="0" w:color="auto"/>
              <w:right w:val="nil"/>
            </w:tcBorders>
            <w:shd w:val="clear" w:color="auto" w:fill="auto"/>
            <w:vAlign w:val="center"/>
            <w:hideMark/>
          </w:tcPr>
          <w:p w14:paraId="5A9B19BC" w14:textId="77777777" w:rsidR="007616F3" w:rsidRPr="007616F3" w:rsidRDefault="007616F3" w:rsidP="00BF75F6">
            <w:pPr>
              <w:jc w:val="center"/>
              <w:rPr>
                <w:b/>
                <w:bCs/>
                <w:color w:val="000000"/>
                <w:sz w:val="20"/>
                <w:szCs w:val="20"/>
              </w:rPr>
            </w:pPr>
            <w:r w:rsidRPr="007616F3">
              <w:rPr>
                <w:b/>
                <w:bCs/>
                <w:color w:val="000000"/>
                <w:sz w:val="20"/>
                <w:szCs w:val="20"/>
              </w:rPr>
              <w:t>CI95</w:t>
            </w:r>
          </w:p>
        </w:tc>
      </w:tr>
      <w:tr w:rsidR="007616F3" w:rsidRPr="007616F3" w14:paraId="240901DB" w14:textId="77777777" w:rsidTr="00BF75F6">
        <w:trPr>
          <w:trHeight w:val="360"/>
        </w:trPr>
        <w:tc>
          <w:tcPr>
            <w:tcW w:w="1760" w:type="dxa"/>
            <w:tcBorders>
              <w:top w:val="nil"/>
              <w:left w:val="nil"/>
              <w:bottom w:val="nil"/>
              <w:right w:val="nil"/>
            </w:tcBorders>
            <w:shd w:val="clear" w:color="auto" w:fill="auto"/>
            <w:vAlign w:val="center"/>
            <w:hideMark/>
          </w:tcPr>
          <w:p w14:paraId="5E43BD6E" w14:textId="77777777" w:rsidR="007616F3" w:rsidRPr="007616F3" w:rsidRDefault="007616F3" w:rsidP="00BF75F6">
            <w:pPr>
              <w:rPr>
                <w:b/>
                <w:bCs/>
                <w:color w:val="000000"/>
                <w:sz w:val="20"/>
                <w:szCs w:val="20"/>
              </w:rPr>
            </w:pPr>
            <w:r w:rsidRPr="007616F3">
              <w:rPr>
                <w:b/>
                <w:bCs/>
                <w:color w:val="000000"/>
                <w:sz w:val="20"/>
                <w:szCs w:val="20"/>
              </w:rPr>
              <w:t>CM</w:t>
            </w:r>
          </w:p>
        </w:tc>
        <w:tc>
          <w:tcPr>
            <w:tcW w:w="1300" w:type="dxa"/>
            <w:tcBorders>
              <w:top w:val="nil"/>
              <w:left w:val="nil"/>
              <w:bottom w:val="nil"/>
              <w:right w:val="nil"/>
            </w:tcBorders>
            <w:shd w:val="clear" w:color="auto" w:fill="auto"/>
            <w:vAlign w:val="center"/>
            <w:hideMark/>
          </w:tcPr>
          <w:p w14:paraId="67C6FF8C" w14:textId="77777777" w:rsidR="007616F3" w:rsidRPr="007616F3" w:rsidRDefault="007616F3" w:rsidP="00BF75F6">
            <w:pPr>
              <w:rPr>
                <w:color w:val="000000"/>
                <w:sz w:val="20"/>
                <w:szCs w:val="20"/>
              </w:rPr>
            </w:pPr>
            <w:r w:rsidRPr="007616F3">
              <w:rPr>
                <w:color w:val="000000"/>
                <w:sz w:val="20"/>
                <w:szCs w:val="20"/>
              </w:rPr>
              <w:t>-0.02</w:t>
            </w:r>
          </w:p>
        </w:tc>
        <w:tc>
          <w:tcPr>
            <w:tcW w:w="1300" w:type="dxa"/>
            <w:tcBorders>
              <w:top w:val="nil"/>
              <w:left w:val="nil"/>
              <w:bottom w:val="nil"/>
              <w:right w:val="nil"/>
            </w:tcBorders>
            <w:shd w:val="clear" w:color="auto" w:fill="auto"/>
            <w:vAlign w:val="center"/>
            <w:hideMark/>
          </w:tcPr>
          <w:p w14:paraId="58468EDA" w14:textId="77777777" w:rsidR="007616F3" w:rsidRPr="007616F3" w:rsidRDefault="007616F3" w:rsidP="00BF75F6">
            <w:pPr>
              <w:rPr>
                <w:color w:val="000000"/>
                <w:sz w:val="20"/>
                <w:szCs w:val="20"/>
              </w:rPr>
            </w:pPr>
            <w:r w:rsidRPr="007616F3">
              <w:rPr>
                <w:color w:val="000000"/>
                <w:sz w:val="20"/>
                <w:szCs w:val="20"/>
              </w:rPr>
              <w:t>0.30</w:t>
            </w:r>
          </w:p>
        </w:tc>
        <w:tc>
          <w:tcPr>
            <w:tcW w:w="1300" w:type="dxa"/>
            <w:tcBorders>
              <w:top w:val="nil"/>
              <w:left w:val="nil"/>
              <w:bottom w:val="nil"/>
              <w:right w:val="nil"/>
            </w:tcBorders>
            <w:shd w:val="clear" w:color="auto" w:fill="auto"/>
            <w:vAlign w:val="center"/>
            <w:hideMark/>
          </w:tcPr>
          <w:p w14:paraId="25E317BD" w14:textId="77777777" w:rsidR="007616F3" w:rsidRPr="007616F3" w:rsidRDefault="007616F3" w:rsidP="00BF75F6">
            <w:pPr>
              <w:rPr>
                <w:color w:val="000000"/>
                <w:sz w:val="20"/>
                <w:szCs w:val="20"/>
              </w:rPr>
            </w:pPr>
            <w:r w:rsidRPr="007616F3">
              <w:rPr>
                <w:color w:val="000000"/>
                <w:sz w:val="20"/>
                <w:szCs w:val="20"/>
              </w:rPr>
              <w:t>-0.06</w:t>
            </w:r>
          </w:p>
        </w:tc>
        <w:tc>
          <w:tcPr>
            <w:tcW w:w="1300" w:type="dxa"/>
            <w:tcBorders>
              <w:top w:val="nil"/>
              <w:left w:val="nil"/>
              <w:bottom w:val="nil"/>
              <w:right w:val="nil"/>
            </w:tcBorders>
            <w:shd w:val="clear" w:color="auto" w:fill="auto"/>
            <w:vAlign w:val="center"/>
            <w:hideMark/>
          </w:tcPr>
          <w:p w14:paraId="14127FA2" w14:textId="77777777" w:rsidR="007616F3" w:rsidRPr="007616F3" w:rsidRDefault="007616F3" w:rsidP="00BF75F6">
            <w:pPr>
              <w:rPr>
                <w:color w:val="000000"/>
                <w:sz w:val="20"/>
                <w:szCs w:val="20"/>
              </w:rPr>
            </w:pPr>
            <w:r w:rsidRPr="007616F3">
              <w:rPr>
                <w:color w:val="000000"/>
                <w:sz w:val="20"/>
                <w:szCs w:val="20"/>
              </w:rPr>
              <w:t>.953</w:t>
            </w:r>
          </w:p>
        </w:tc>
        <w:tc>
          <w:tcPr>
            <w:tcW w:w="1300" w:type="dxa"/>
            <w:tcBorders>
              <w:top w:val="nil"/>
              <w:left w:val="nil"/>
              <w:bottom w:val="nil"/>
              <w:right w:val="nil"/>
            </w:tcBorders>
            <w:shd w:val="clear" w:color="auto" w:fill="auto"/>
            <w:vAlign w:val="center"/>
            <w:hideMark/>
          </w:tcPr>
          <w:p w14:paraId="24B738C1" w14:textId="77777777" w:rsidR="007616F3" w:rsidRPr="007616F3" w:rsidRDefault="007616F3" w:rsidP="00BF75F6">
            <w:pPr>
              <w:rPr>
                <w:color w:val="000000"/>
                <w:sz w:val="20"/>
                <w:szCs w:val="20"/>
              </w:rPr>
            </w:pPr>
            <w:r w:rsidRPr="007616F3">
              <w:rPr>
                <w:color w:val="000000"/>
                <w:sz w:val="20"/>
                <w:szCs w:val="20"/>
              </w:rPr>
              <w:t>-0.61, 0.58</w:t>
            </w:r>
          </w:p>
        </w:tc>
      </w:tr>
      <w:tr w:rsidR="007616F3" w:rsidRPr="007616F3" w14:paraId="2A8A5A5A" w14:textId="77777777" w:rsidTr="00BF75F6">
        <w:trPr>
          <w:trHeight w:val="360"/>
        </w:trPr>
        <w:tc>
          <w:tcPr>
            <w:tcW w:w="1760" w:type="dxa"/>
            <w:tcBorders>
              <w:top w:val="nil"/>
              <w:left w:val="nil"/>
              <w:bottom w:val="nil"/>
              <w:right w:val="nil"/>
            </w:tcBorders>
            <w:shd w:val="clear" w:color="auto" w:fill="auto"/>
            <w:vAlign w:val="center"/>
            <w:hideMark/>
          </w:tcPr>
          <w:p w14:paraId="0898FBD0" w14:textId="0C20717C" w:rsidR="007616F3" w:rsidRPr="007616F3" w:rsidRDefault="008443CF" w:rsidP="00BF75F6">
            <w:pPr>
              <w:rPr>
                <w:b/>
                <w:bCs/>
                <w:color w:val="000000"/>
                <w:sz w:val="20"/>
                <w:szCs w:val="20"/>
              </w:rPr>
            </w:pPr>
            <w:r>
              <w:rPr>
                <w:b/>
                <w:bCs/>
                <w:color w:val="000000"/>
                <w:sz w:val="20"/>
                <w:szCs w:val="20"/>
              </w:rPr>
              <w:t>MDD</w:t>
            </w:r>
          </w:p>
        </w:tc>
        <w:tc>
          <w:tcPr>
            <w:tcW w:w="1300" w:type="dxa"/>
            <w:tcBorders>
              <w:top w:val="nil"/>
              <w:left w:val="nil"/>
              <w:bottom w:val="nil"/>
              <w:right w:val="nil"/>
            </w:tcBorders>
            <w:shd w:val="clear" w:color="auto" w:fill="auto"/>
            <w:vAlign w:val="center"/>
            <w:hideMark/>
          </w:tcPr>
          <w:p w14:paraId="70011873" w14:textId="77777777" w:rsidR="007616F3" w:rsidRPr="007616F3" w:rsidRDefault="007616F3" w:rsidP="00BF75F6">
            <w:pPr>
              <w:rPr>
                <w:color w:val="000000"/>
                <w:sz w:val="20"/>
                <w:szCs w:val="20"/>
              </w:rPr>
            </w:pPr>
            <w:r w:rsidRPr="007616F3">
              <w:rPr>
                <w:color w:val="000000"/>
                <w:sz w:val="20"/>
                <w:szCs w:val="20"/>
              </w:rPr>
              <w:t>0.26</w:t>
            </w:r>
          </w:p>
        </w:tc>
        <w:tc>
          <w:tcPr>
            <w:tcW w:w="1300" w:type="dxa"/>
            <w:tcBorders>
              <w:top w:val="nil"/>
              <w:left w:val="nil"/>
              <w:bottom w:val="nil"/>
              <w:right w:val="nil"/>
            </w:tcBorders>
            <w:shd w:val="clear" w:color="auto" w:fill="auto"/>
            <w:vAlign w:val="center"/>
            <w:hideMark/>
          </w:tcPr>
          <w:p w14:paraId="7513F553" w14:textId="77777777" w:rsidR="007616F3" w:rsidRPr="007616F3" w:rsidRDefault="007616F3" w:rsidP="00BF75F6">
            <w:pPr>
              <w:rPr>
                <w:color w:val="000000"/>
                <w:sz w:val="20"/>
                <w:szCs w:val="20"/>
              </w:rPr>
            </w:pPr>
            <w:r w:rsidRPr="007616F3">
              <w:rPr>
                <w:color w:val="000000"/>
                <w:sz w:val="20"/>
                <w:szCs w:val="20"/>
              </w:rPr>
              <w:t>0.27</w:t>
            </w:r>
          </w:p>
        </w:tc>
        <w:tc>
          <w:tcPr>
            <w:tcW w:w="1300" w:type="dxa"/>
            <w:tcBorders>
              <w:top w:val="nil"/>
              <w:left w:val="nil"/>
              <w:bottom w:val="nil"/>
              <w:right w:val="nil"/>
            </w:tcBorders>
            <w:shd w:val="clear" w:color="auto" w:fill="auto"/>
            <w:vAlign w:val="center"/>
            <w:hideMark/>
          </w:tcPr>
          <w:p w14:paraId="19B7739B" w14:textId="77777777" w:rsidR="007616F3" w:rsidRPr="007616F3" w:rsidRDefault="007616F3" w:rsidP="00BF75F6">
            <w:pPr>
              <w:rPr>
                <w:color w:val="000000"/>
                <w:sz w:val="20"/>
                <w:szCs w:val="20"/>
              </w:rPr>
            </w:pPr>
            <w:r w:rsidRPr="007616F3">
              <w:rPr>
                <w:color w:val="000000"/>
                <w:sz w:val="20"/>
                <w:szCs w:val="20"/>
              </w:rPr>
              <w:t>0.98</w:t>
            </w:r>
          </w:p>
        </w:tc>
        <w:tc>
          <w:tcPr>
            <w:tcW w:w="1300" w:type="dxa"/>
            <w:tcBorders>
              <w:top w:val="nil"/>
              <w:left w:val="nil"/>
              <w:bottom w:val="nil"/>
              <w:right w:val="nil"/>
            </w:tcBorders>
            <w:shd w:val="clear" w:color="auto" w:fill="auto"/>
            <w:vAlign w:val="center"/>
            <w:hideMark/>
          </w:tcPr>
          <w:p w14:paraId="2DDABDED" w14:textId="77777777" w:rsidR="007616F3" w:rsidRPr="007616F3" w:rsidRDefault="007616F3" w:rsidP="00BF75F6">
            <w:pPr>
              <w:rPr>
                <w:color w:val="000000"/>
                <w:sz w:val="20"/>
                <w:szCs w:val="20"/>
              </w:rPr>
            </w:pPr>
            <w:r w:rsidRPr="007616F3">
              <w:rPr>
                <w:color w:val="000000"/>
                <w:sz w:val="20"/>
                <w:szCs w:val="20"/>
              </w:rPr>
              <w:t>.328</w:t>
            </w:r>
          </w:p>
        </w:tc>
        <w:tc>
          <w:tcPr>
            <w:tcW w:w="1300" w:type="dxa"/>
            <w:tcBorders>
              <w:top w:val="nil"/>
              <w:left w:val="nil"/>
              <w:bottom w:val="nil"/>
              <w:right w:val="nil"/>
            </w:tcBorders>
            <w:shd w:val="clear" w:color="auto" w:fill="auto"/>
            <w:vAlign w:val="center"/>
            <w:hideMark/>
          </w:tcPr>
          <w:p w14:paraId="3BB504EA" w14:textId="77777777" w:rsidR="007616F3" w:rsidRPr="007616F3" w:rsidRDefault="007616F3" w:rsidP="00BF75F6">
            <w:pPr>
              <w:rPr>
                <w:color w:val="000000"/>
                <w:sz w:val="20"/>
                <w:szCs w:val="20"/>
              </w:rPr>
            </w:pPr>
            <w:r w:rsidRPr="007616F3">
              <w:rPr>
                <w:color w:val="000000"/>
                <w:sz w:val="20"/>
                <w:szCs w:val="20"/>
              </w:rPr>
              <w:t>-0.27, 0.79</w:t>
            </w:r>
          </w:p>
        </w:tc>
      </w:tr>
      <w:tr w:rsidR="007616F3" w:rsidRPr="007616F3" w14:paraId="206264E6" w14:textId="77777777" w:rsidTr="00BF75F6">
        <w:trPr>
          <w:trHeight w:val="360"/>
        </w:trPr>
        <w:tc>
          <w:tcPr>
            <w:tcW w:w="1760" w:type="dxa"/>
            <w:tcBorders>
              <w:top w:val="nil"/>
              <w:left w:val="nil"/>
              <w:bottom w:val="nil"/>
              <w:right w:val="nil"/>
            </w:tcBorders>
            <w:shd w:val="clear" w:color="auto" w:fill="auto"/>
            <w:vAlign w:val="center"/>
            <w:hideMark/>
          </w:tcPr>
          <w:p w14:paraId="18B90444" w14:textId="611C9279" w:rsidR="007616F3" w:rsidRPr="007616F3" w:rsidRDefault="007616F3" w:rsidP="00BF75F6">
            <w:pPr>
              <w:rPr>
                <w:b/>
                <w:bCs/>
                <w:i/>
                <w:iCs/>
                <w:color w:val="000000"/>
                <w:sz w:val="20"/>
                <w:szCs w:val="20"/>
              </w:rPr>
            </w:pPr>
            <w:r w:rsidRPr="007616F3">
              <w:rPr>
                <w:b/>
                <w:bCs/>
                <w:i/>
                <w:iCs/>
                <w:color w:val="000000"/>
                <w:sz w:val="20"/>
                <w:szCs w:val="20"/>
              </w:rPr>
              <w:t>CM</w:t>
            </w:r>
            <w:r w:rsidRPr="007616F3">
              <w:rPr>
                <w:b/>
                <w:bCs/>
                <w:color w:val="000000"/>
                <w:sz w:val="20"/>
                <w:szCs w:val="20"/>
              </w:rPr>
              <w:t xml:space="preserve"> x </w:t>
            </w:r>
            <w:r w:rsidR="008443CF">
              <w:rPr>
                <w:b/>
                <w:bCs/>
                <w:color w:val="000000"/>
                <w:sz w:val="20"/>
                <w:szCs w:val="20"/>
              </w:rPr>
              <w:t>MDD</w:t>
            </w:r>
          </w:p>
        </w:tc>
        <w:tc>
          <w:tcPr>
            <w:tcW w:w="1300" w:type="dxa"/>
            <w:tcBorders>
              <w:top w:val="nil"/>
              <w:left w:val="nil"/>
              <w:bottom w:val="nil"/>
              <w:right w:val="nil"/>
            </w:tcBorders>
            <w:shd w:val="clear" w:color="auto" w:fill="auto"/>
            <w:vAlign w:val="center"/>
            <w:hideMark/>
          </w:tcPr>
          <w:p w14:paraId="0CE568D1" w14:textId="77777777" w:rsidR="007616F3" w:rsidRPr="007616F3" w:rsidRDefault="007616F3" w:rsidP="00BF75F6">
            <w:pPr>
              <w:rPr>
                <w:color w:val="000000"/>
                <w:sz w:val="20"/>
                <w:szCs w:val="20"/>
              </w:rPr>
            </w:pPr>
            <w:r w:rsidRPr="007616F3">
              <w:rPr>
                <w:color w:val="000000"/>
                <w:sz w:val="20"/>
                <w:szCs w:val="20"/>
              </w:rPr>
              <w:t>0.32</w:t>
            </w:r>
          </w:p>
        </w:tc>
        <w:tc>
          <w:tcPr>
            <w:tcW w:w="1300" w:type="dxa"/>
            <w:tcBorders>
              <w:top w:val="nil"/>
              <w:left w:val="nil"/>
              <w:bottom w:val="nil"/>
              <w:right w:val="nil"/>
            </w:tcBorders>
            <w:shd w:val="clear" w:color="auto" w:fill="auto"/>
            <w:vAlign w:val="center"/>
            <w:hideMark/>
          </w:tcPr>
          <w:p w14:paraId="57F2D1AC" w14:textId="77777777" w:rsidR="007616F3" w:rsidRPr="007616F3" w:rsidRDefault="007616F3" w:rsidP="00BF75F6">
            <w:pPr>
              <w:rPr>
                <w:color w:val="000000"/>
                <w:sz w:val="20"/>
                <w:szCs w:val="20"/>
              </w:rPr>
            </w:pPr>
            <w:r w:rsidRPr="007616F3">
              <w:rPr>
                <w:color w:val="000000"/>
                <w:sz w:val="20"/>
                <w:szCs w:val="20"/>
              </w:rPr>
              <w:t>0.42</w:t>
            </w:r>
          </w:p>
        </w:tc>
        <w:tc>
          <w:tcPr>
            <w:tcW w:w="1300" w:type="dxa"/>
            <w:tcBorders>
              <w:top w:val="nil"/>
              <w:left w:val="nil"/>
              <w:bottom w:val="nil"/>
              <w:right w:val="nil"/>
            </w:tcBorders>
            <w:shd w:val="clear" w:color="auto" w:fill="auto"/>
            <w:vAlign w:val="center"/>
            <w:hideMark/>
          </w:tcPr>
          <w:p w14:paraId="196292B9" w14:textId="77777777" w:rsidR="007616F3" w:rsidRPr="007616F3" w:rsidRDefault="007616F3" w:rsidP="00BF75F6">
            <w:pPr>
              <w:rPr>
                <w:color w:val="000000"/>
                <w:sz w:val="20"/>
                <w:szCs w:val="20"/>
              </w:rPr>
            </w:pPr>
            <w:r w:rsidRPr="007616F3">
              <w:rPr>
                <w:color w:val="000000"/>
                <w:sz w:val="20"/>
                <w:szCs w:val="20"/>
              </w:rPr>
              <w:t>0.75</w:t>
            </w:r>
          </w:p>
        </w:tc>
        <w:tc>
          <w:tcPr>
            <w:tcW w:w="1300" w:type="dxa"/>
            <w:tcBorders>
              <w:top w:val="nil"/>
              <w:left w:val="nil"/>
              <w:bottom w:val="nil"/>
              <w:right w:val="nil"/>
            </w:tcBorders>
            <w:shd w:val="clear" w:color="auto" w:fill="auto"/>
            <w:vAlign w:val="center"/>
            <w:hideMark/>
          </w:tcPr>
          <w:p w14:paraId="75A37183" w14:textId="77777777" w:rsidR="007616F3" w:rsidRPr="007616F3" w:rsidRDefault="007616F3" w:rsidP="00BF75F6">
            <w:pPr>
              <w:rPr>
                <w:color w:val="000000"/>
                <w:sz w:val="20"/>
                <w:szCs w:val="20"/>
              </w:rPr>
            </w:pPr>
            <w:r w:rsidRPr="007616F3">
              <w:rPr>
                <w:color w:val="000000"/>
                <w:sz w:val="20"/>
                <w:szCs w:val="20"/>
              </w:rPr>
              <w:t>.452</w:t>
            </w:r>
          </w:p>
        </w:tc>
        <w:tc>
          <w:tcPr>
            <w:tcW w:w="1300" w:type="dxa"/>
            <w:tcBorders>
              <w:top w:val="nil"/>
              <w:left w:val="nil"/>
              <w:bottom w:val="nil"/>
              <w:right w:val="nil"/>
            </w:tcBorders>
            <w:shd w:val="clear" w:color="auto" w:fill="auto"/>
            <w:vAlign w:val="center"/>
            <w:hideMark/>
          </w:tcPr>
          <w:p w14:paraId="1A46922C" w14:textId="77777777" w:rsidR="007616F3" w:rsidRPr="007616F3" w:rsidRDefault="007616F3" w:rsidP="00BF75F6">
            <w:pPr>
              <w:rPr>
                <w:color w:val="000000"/>
                <w:sz w:val="20"/>
                <w:szCs w:val="20"/>
              </w:rPr>
            </w:pPr>
            <w:r w:rsidRPr="007616F3">
              <w:rPr>
                <w:color w:val="000000"/>
                <w:sz w:val="20"/>
                <w:szCs w:val="20"/>
              </w:rPr>
              <w:t>-0.51, 1.15</w:t>
            </w:r>
          </w:p>
        </w:tc>
      </w:tr>
      <w:tr w:rsidR="007616F3" w:rsidRPr="007616F3" w14:paraId="29D4FA00" w14:textId="77777777" w:rsidTr="00BF75F6">
        <w:trPr>
          <w:trHeight w:val="360"/>
        </w:trPr>
        <w:tc>
          <w:tcPr>
            <w:tcW w:w="8260" w:type="dxa"/>
            <w:gridSpan w:val="6"/>
            <w:tcBorders>
              <w:top w:val="single" w:sz="8" w:space="0" w:color="auto"/>
              <w:left w:val="nil"/>
              <w:bottom w:val="nil"/>
              <w:right w:val="nil"/>
            </w:tcBorders>
            <w:shd w:val="clear" w:color="auto" w:fill="auto"/>
            <w:vAlign w:val="center"/>
            <w:hideMark/>
          </w:tcPr>
          <w:p w14:paraId="79C586E5" w14:textId="77777777" w:rsidR="007616F3" w:rsidRPr="007616F3" w:rsidRDefault="007616F3" w:rsidP="00BF75F6">
            <w:pPr>
              <w:rPr>
                <w:b/>
                <w:bCs/>
                <w:i/>
                <w:iCs/>
                <w:color w:val="000000"/>
                <w:sz w:val="20"/>
                <w:szCs w:val="20"/>
              </w:rPr>
            </w:pPr>
            <w:r w:rsidRPr="007616F3">
              <w:rPr>
                <w:b/>
                <w:bCs/>
                <w:i/>
                <w:iCs/>
                <w:color w:val="000000"/>
                <w:sz w:val="20"/>
                <w:szCs w:val="20"/>
              </w:rPr>
              <w:t>DV: PEA (n = 153)</w:t>
            </w:r>
          </w:p>
        </w:tc>
      </w:tr>
      <w:tr w:rsidR="007616F3" w:rsidRPr="007616F3" w14:paraId="44B1B996" w14:textId="77777777" w:rsidTr="00BF75F6">
        <w:trPr>
          <w:trHeight w:val="360"/>
        </w:trPr>
        <w:tc>
          <w:tcPr>
            <w:tcW w:w="1760" w:type="dxa"/>
            <w:tcBorders>
              <w:top w:val="single" w:sz="4" w:space="0" w:color="auto"/>
              <w:left w:val="nil"/>
              <w:bottom w:val="single" w:sz="4" w:space="0" w:color="auto"/>
              <w:right w:val="nil"/>
            </w:tcBorders>
            <w:shd w:val="clear" w:color="auto" w:fill="auto"/>
            <w:vAlign w:val="center"/>
            <w:hideMark/>
          </w:tcPr>
          <w:p w14:paraId="6A87A0BF" w14:textId="77777777" w:rsidR="007616F3" w:rsidRPr="007616F3" w:rsidRDefault="007616F3" w:rsidP="00BF75F6">
            <w:pPr>
              <w:rPr>
                <w:b/>
                <w:bCs/>
                <w:color w:val="000000"/>
                <w:sz w:val="20"/>
                <w:szCs w:val="20"/>
              </w:rPr>
            </w:pPr>
            <w:r w:rsidRPr="007616F3">
              <w:rPr>
                <w:b/>
                <w:bCs/>
                <w:color w:val="000000"/>
                <w:sz w:val="20"/>
                <w:szCs w:val="20"/>
              </w:rPr>
              <w:t> </w:t>
            </w:r>
          </w:p>
        </w:tc>
        <w:tc>
          <w:tcPr>
            <w:tcW w:w="1300" w:type="dxa"/>
            <w:tcBorders>
              <w:top w:val="single" w:sz="4" w:space="0" w:color="auto"/>
              <w:left w:val="nil"/>
              <w:bottom w:val="single" w:sz="4" w:space="0" w:color="auto"/>
              <w:right w:val="nil"/>
            </w:tcBorders>
            <w:shd w:val="clear" w:color="auto" w:fill="auto"/>
            <w:vAlign w:val="center"/>
            <w:hideMark/>
          </w:tcPr>
          <w:p w14:paraId="702EBBEA" w14:textId="77777777" w:rsidR="007616F3" w:rsidRPr="007616F3" w:rsidRDefault="007616F3" w:rsidP="00BF75F6">
            <w:pPr>
              <w:jc w:val="center"/>
              <w:rPr>
                <w:b/>
                <w:bCs/>
                <w:i/>
                <w:iCs/>
                <w:color w:val="000000"/>
                <w:sz w:val="20"/>
                <w:szCs w:val="20"/>
              </w:rPr>
            </w:pPr>
            <w:r w:rsidRPr="007616F3">
              <w:rPr>
                <w:b/>
                <w:bCs/>
                <w:i/>
                <w:iCs/>
                <w:color w:val="000000"/>
                <w:sz w:val="20"/>
                <w:szCs w:val="20"/>
              </w:rPr>
              <w:t>B</w:t>
            </w:r>
          </w:p>
        </w:tc>
        <w:tc>
          <w:tcPr>
            <w:tcW w:w="1300" w:type="dxa"/>
            <w:tcBorders>
              <w:top w:val="single" w:sz="4" w:space="0" w:color="auto"/>
              <w:left w:val="nil"/>
              <w:bottom w:val="single" w:sz="4" w:space="0" w:color="auto"/>
              <w:right w:val="nil"/>
            </w:tcBorders>
            <w:shd w:val="clear" w:color="auto" w:fill="auto"/>
            <w:vAlign w:val="center"/>
            <w:hideMark/>
          </w:tcPr>
          <w:p w14:paraId="4BEBFBDD" w14:textId="77777777" w:rsidR="007616F3" w:rsidRPr="007616F3" w:rsidRDefault="007616F3" w:rsidP="00BF75F6">
            <w:pPr>
              <w:jc w:val="center"/>
              <w:rPr>
                <w:b/>
                <w:bCs/>
                <w:color w:val="000000"/>
                <w:sz w:val="20"/>
                <w:szCs w:val="20"/>
              </w:rPr>
            </w:pPr>
            <w:r w:rsidRPr="007616F3">
              <w:rPr>
                <w:b/>
                <w:bCs/>
                <w:color w:val="000000"/>
                <w:sz w:val="20"/>
                <w:szCs w:val="20"/>
              </w:rPr>
              <w:t>robust SE</w:t>
            </w:r>
          </w:p>
        </w:tc>
        <w:tc>
          <w:tcPr>
            <w:tcW w:w="1300" w:type="dxa"/>
            <w:tcBorders>
              <w:top w:val="single" w:sz="4" w:space="0" w:color="auto"/>
              <w:left w:val="nil"/>
              <w:bottom w:val="single" w:sz="4" w:space="0" w:color="auto"/>
              <w:right w:val="nil"/>
            </w:tcBorders>
            <w:shd w:val="clear" w:color="auto" w:fill="auto"/>
            <w:vAlign w:val="center"/>
            <w:hideMark/>
          </w:tcPr>
          <w:p w14:paraId="372A30DE" w14:textId="77777777" w:rsidR="007616F3" w:rsidRPr="007616F3" w:rsidRDefault="007616F3" w:rsidP="00BF75F6">
            <w:pPr>
              <w:jc w:val="center"/>
              <w:rPr>
                <w:b/>
                <w:bCs/>
                <w:i/>
                <w:iCs/>
                <w:color w:val="000000"/>
                <w:sz w:val="20"/>
                <w:szCs w:val="20"/>
              </w:rPr>
            </w:pPr>
            <w:r w:rsidRPr="007616F3">
              <w:rPr>
                <w:b/>
                <w:bCs/>
                <w:i/>
                <w:iCs/>
                <w:color w:val="000000"/>
                <w:sz w:val="20"/>
                <w:szCs w:val="20"/>
              </w:rPr>
              <w:t>t</w:t>
            </w:r>
          </w:p>
        </w:tc>
        <w:tc>
          <w:tcPr>
            <w:tcW w:w="1300" w:type="dxa"/>
            <w:tcBorders>
              <w:top w:val="single" w:sz="4" w:space="0" w:color="auto"/>
              <w:left w:val="nil"/>
              <w:bottom w:val="single" w:sz="4" w:space="0" w:color="auto"/>
              <w:right w:val="nil"/>
            </w:tcBorders>
            <w:shd w:val="clear" w:color="auto" w:fill="auto"/>
            <w:vAlign w:val="center"/>
            <w:hideMark/>
          </w:tcPr>
          <w:p w14:paraId="68A1777B" w14:textId="77777777" w:rsidR="007616F3" w:rsidRPr="007616F3" w:rsidRDefault="007616F3" w:rsidP="00BF75F6">
            <w:pPr>
              <w:jc w:val="center"/>
              <w:rPr>
                <w:b/>
                <w:bCs/>
                <w:i/>
                <w:iCs/>
                <w:color w:val="000000"/>
                <w:sz w:val="20"/>
                <w:szCs w:val="20"/>
              </w:rPr>
            </w:pPr>
            <w:r w:rsidRPr="007616F3">
              <w:rPr>
                <w:b/>
                <w:bCs/>
                <w:i/>
                <w:iCs/>
                <w:color w:val="000000"/>
                <w:sz w:val="20"/>
                <w:szCs w:val="20"/>
              </w:rPr>
              <w:t>p</w:t>
            </w:r>
          </w:p>
        </w:tc>
        <w:tc>
          <w:tcPr>
            <w:tcW w:w="1300" w:type="dxa"/>
            <w:tcBorders>
              <w:top w:val="single" w:sz="4" w:space="0" w:color="auto"/>
              <w:left w:val="nil"/>
              <w:bottom w:val="single" w:sz="4" w:space="0" w:color="auto"/>
              <w:right w:val="nil"/>
            </w:tcBorders>
            <w:shd w:val="clear" w:color="auto" w:fill="auto"/>
            <w:vAlign w:val="center"/>
            <w:hideMark/>
          </w:tcPr>
          <w:p w14:paraId="1571AACA" w14:textId="77777777" w:rsidR="007616F3" w:rsidRPr="007616F3" w:rsidRDefault="007616F3" w:rsidP="00BF75F6">
            <w:pPr>
              <w:jc w:val="center"/>
              <w:rPr>
                <w:b/>
                <w:bCs/>
                <w:color w:val="000000"/>
                <w:sz w:val="20"/>
                <w:szCs w:val="20"/>
              </w:rPr>
            </w:pPr>
            <w:r w:rsidRPr="007616F3">
              <w:rPr>
                <w:b/>
                <w:bCs/>
                <w:color w:val="000000"/>
                <w:sz w:val="20"/>
                <w:szCs w:val="20"/>
              </w:rPr>
              <w:t>CI95</w:t>
            </w:r>
          </w:p>
        </w:tc>
      </w:tr>
      <w:tr w:rsidR="007616F3" w:rsidRPr="007616F3" w14:paraId="0323E9C4" w14:textId="77777777" w:rsidTr="00BF75F6">
        <w:trPr>
          <w:trHeight w:val="360"/>
        </w:trPr>
        <w:tc>
          <w:tcPr>
            <w:tcW w:w="1760" w:type="dxa"/>
            <w:tcBorders>
              <w:top w:val="nil"/>
              <w:left w:val="nil"/>
              <w:bottom w:val="nil"/>
              <w:right w:val="nil"/>
            </w:tcBorders>
            <w:shd w:val="clear" w:color="auto" w:fill="auto"/>
            <w:vAlign w:val="center"/>
            <w:hideMark/>
          </w:tcPr>
          <w:p w14:paraId="71297DCA" w14:textId="77777777" w:rsidR="007616F3" w:rsidRPr="007616F3" w:rsidRDefault="007616F3" w:rsidP="00BF75F6">
            <w:pPr>
              <w:rPr>
                <w:b/>
                <w:bCs/>
                <w:color w:val="000000"/>
                <w:sz w:val="20"/>
                <w:szCs w:val="20"/>
              </w:rPr>
            </w:pPr>
            <w:r w:rsidRPr="007616F3">
              <w:rPr>
                <w:b/>
                <w:bCs/>
                <w:color w:val="000000"/>
                <w:sz w:val="20"/>
                <w:szCs w:val="20"/>
              </w:rPr>
              <w:t>CM</w:t>
            </w:r>
          </w:p>
        </w:tc>
        <w:tc>
          <w:tcPr>
            <w:tcW w:w="1300" w:type="dxa"/>
            <w:tcBorders>
              <w:top w:val="nil"/>
              <w:left w:val="nil"/>
              <w:bottom w:val="nil"/>
              <w:right w:val="nil"/>
            </w:tcBorders>
            <w:shd w:val="clear" w:color="auto" w:fill="auto"/>
            <w:vAlign w:val="center"/>
            <w:hideMark/>
          </w:tcPr>
          <w:p w14:paraId="5FCBA777" w14:textId="77777777" w:rsidR="007616F3" w:rsidRPr="007616F3" w:rsidRDefault="007616F3" w:rsidP="00BF75F6">
            <w:pPr>
              <w:rPr>
                <w:color w:val="000000"/>
                <w:sz w:val="20"/>
                <w:szCs w:val="20"/>
              </w:rPr>
            </w:pPr>
            <w:r w:rsidRPr="007616F3">
              <w:rPr>
                <w:color w:val="000000"/>
                <w:sz w:val="20"/>
                <w:szCs w:val="20"/>
              </w:rPr>
              <w:t>0.63</w:t>
            </w:r>
          </w:p>
        </w:tc>
        <w:tc>
          <w:tcPr>
            <w:tcW w:w="1300" w:type="dxa"/>
            <w:tcBorders>
              <w:top w:val="nil"/>
              <w:left w:val="nil"/>
              <w:bottom w:val="nil"/>
              <w:right w:val="nil"/>
            </w:tcBorders>
            <w:shd w:val="clear" w:color="auto" w:fill="auto"/>
            <w:vAlign w:val="center"/>
            <w:hideMark/>
          </w:tcPr>
          <w:p w14:paraId="22E46E74" w14:textId="77777777" w:rsidR="007616F3" w:rsidRPr="007616F3" w:rsidRDefault="007616F3" w:rsidP="00BF75F6">
            <w:pPr>
              <w:rPr>
                <w:color w:val="000000"/>
                <w:sz w:val="20"/>
                <w:szCs w:val="20"/>
              </w:rPr>
            </w:pPr>
            <w:r w:rsidRPr="007616F3">
              <w:rPr>
                <w:color w:val="000000"/>
                <w:sz w:val="20"/>
                <w:szCs w:val="20"/>
              </w:rPr>
              <w:t>0.31</w:t>
            </w:r>
          </w:p>
        </w:tc>
        <w:tc>
          <w:tcPr>
            <w:tcW w:w="1300" w:type="dxa"/>
            <w:tcBorders>
              <w:top w:val="nil"/>
              <w:left w:val="nil"/>
              <w:bottom w:val="nil"/>
              <w:right w:val="nil"/>
            </w:tcBorders>
            <w:shd w:val="clear" w:color="auto" w:fill="auto"/>
            <w:vAlign w:val="center"/>
            <w:hideMark/>
          </w:tcPr>
          <w:p w14:paraId="306E1309" w14:textId="77777777" w:rsidR="007616F3" w:rsidRPr="007616F3" w:rsidRDefault="007616F3" w:rsidP="00BF75F6">
            <w:pPr>
              <w:rPr>
                <w:color w:val="000000"/>
                <w:sz w:val="20"/>
                <w:szCs w:val="20"/>
              </w:rPr>
            </w:pPr>
            <w:r w:rsidRPr="007616F3">
              <w:rPr>
                <w:color w:val="000000"/>
                <w:sz w:val="20"/>
                <w:szCs w:val="20"/>
              </w:rPr>
              <w:t>2.02</w:t>
            </w:r>
          </w:p>
        </w:tc>
        <w:tc>
          <w:tcPr>
            <w:tcW w:w="1300" w:type="dxa"/>
            <w:tcBorders>
              <w:top w:val="nil"/>
              <w:left w:val="nil"/>
              <w:bottom w:val="nil"/>
              <w:right w:val="nil"/>
            </w:tcBorders>
            <w:shd w:val="clear" w:color="auto" w:fill="auto"/>
            <w:vAlign w:val="center"/>
            <w:hideMark/>
          </w:tcPr>
          <w:p w14:paraId="09DD1145" w14:textId="77777777" w:rsidR="007616F3" w:rsidRPr="007616F3" w:rsidRDefault="007616F3" w:rsidP="00BF75F6">
            <w:pPr>
              <w:rPr>
                <w:color w:val="000000"/>
                <w:sz w:val="20"/>
                <w:szCs w:val="20"/>
              </w:rPr>
            </w:pPr>
            <w:r w:rsidRPr="007616F3">
              <w:rPr>
                <w:color w:val="000000"/>
                <w:sz w:val="20"/>
                <w:szCs w:val="20"/>
              </w:rPr>
              <w:t>.045*</w:t>
            </w:r>
          </w:p>
        </w:tc>
        <w:tc>
          <w:tcPr>
            <w:tcW w:w="1300" w:type="dxa"/>
            <w:tcBorders>
              <w:top w:val="nil"/>
              <w:left w:val="nil"/>
              <w:bottom w:val="nil"/>
              <w:right w:val="nil"/>
            </w:tcBorders>
            <w:shd w:val="clear" w:color="auto" w:fill="auto"/>
            <w:vAlign w:val="center"/>
            <w:hideMark/>
          </w:tcPr>
          <w:p w14:paraId="00EC451C" w14:textId="77777777" w:rsidR="007616F3" w:rsidRPr="007616F3" w:rsidRDefault="007616F3" w:rsidP="00BF75F6">
            <w:pPr>
              <w:rPr>
                <w:color w:val="000000"/>
                <w:sz w:val="20"/>
                <w:szCs w:val="20"/>
              </w:rPr>
            </w:pPr>
            <w:r w:rsidRPr="007616F3">
              <w:rPr>
                <w:color w:val="000000"/>
                <w:sz w:val="20"/>
                <w:szCs w:val="20"/>
              </w:rPr>
              <w:t>0.01, 1.24</w:t>
            </w:r>
          </w:p>
        </w:tc>
      </w:tr>
      <w:tr w:rsidR="007616F3" w:rsidRPr="007616F3" w14:paraId="5D0A810D" w14:textId="77777777" w:rsidTr="00BF75F6">
        <w:trPr>
          <w:trHeight w:val="360"/>
        </w:trPr>
        <w:tc>
          <w:tcPr>
            <w:tcW w:w="1760" w:type="dxa"/>
            <w:tcBorders>
              <w:top w:val="nil"/>
              <w:left w:val="nil"/>
              <w:bottom w:val="nil"/>
              <w:right w:val="nil"/>
            </w:tcBorders>
            <w:shd w:val="clear" w:color="auto" w:fill="auto"/>
            <w:vAlign w:val="center"/>
            <w:hideMark/>
          </w:tcPr>
          <w:p w14:paraId="13CBA63A" w14:textId="5534A5C7" w:rsidR="007616F3" w:rsidRPr="007616F3" w:rsidRDefault="008443CF" w:rsidP="00BF75F6">
            <w:pPr>
              <w:rPr>
                <w:b/>
                <w:bCs/>
                <w:color w:val="000000"/>
                <w:sz w:val="20"/>
                <w:szCs w:val="20"/>
              </w:rPr>
            </w:pPr>
            <w:r>
              <w:rPr>
                <w:b/>
                <w:bCs/>
                <w:color w:val="000000"/>
                <w:sz w:val="20"/>
                <w:szCs w:val="20"/>
              </w:rPr>
              <w:t>MDD</w:t>
            </w:r>
          </w:p>
        </w:tc>
        <w:tc>
          <w:tcPr>
            <w:tcW w:w="1300" w:type="dxa"/>
            <w:tcBorders>
              <w:top w:val="nil"/>
              <w:left w:val="nil"/>
              <w:bottom w:val="nil"/>
              <w:right w:val="nil"/>
            </w:tcBorders>
            <w:shd w:val="clear" w:color="auto" w:fill="auto"/>
            <w:vAlign w:val="center"/>
            <w:hideMark/>
          </w:tcPr>
          <w:p w14:paraId="06B4A985" w14:textId="77777777" w:rsidR="007616F3" w:rsidRPr="007616F3" w:rsidRDefault="007616F3" w:rsidP="00BF75F6">
            <w:pPr>
              <w:rPr>
                <w:color w:val="000000"/>
                <w:sz w:val="20"/>
                <w:szCs w:val="20"/>
              </w:rPr>
            </w:pPr>
            <w:r w:rsidRPr="007616F3">
              <w:rPr>
                <w:color w:val="000000"/>
                <w:sz w:val="20"/>
                <w:szCs w:val="20"/>
              </w:rPr>
              <w:t>0.59</w:t>
            </w:r>
          </w:p>
        </w:tc>
        <w:tc>
          <w:tcPr>
            <w:tcW w:w="1300" w:type="dxa"/>
            <w:tcBorders>
              <w:top w:val="nil"/>
              <w:left w:val="nil"/>
              <w:bottom w:val="nil"/>
              <w:right w:val="nil"/>
            </w:tcBorders>
            <w:shd w:val="clear" w:color="auto" w:fill="auto"/>
            <w:vAlign w:val="center"/>
            <w:hideMark/>
          </w:tcPr>
          <w:p w14:paraId="5BD7FF1C" w14:textId="77777777" w:rsidR="007616F3" w:rsidRPr="007616F3" w:rsidRDefault="007616F3" w:rsidP="00BF75F6">
            <w:pPr>
              <w:rPr>
                <w:color w:val="000000"/>
                <w:sz w:val="20"/>
                <w:szCs w:val="20"/>
              </w:rPr>
            </w:pPr>
            <w:r w:rsidRPr="007616F3">
              <w:rPr>
                <w:color w:val="000000"/>
                <w:sz w:val="20"/>
                <w:szCs w:val="20"/>
              </w:rPr>
              <w:t>0.25</w:t>
            </w:r>
          </w:p>
        </w:tc>
        <w:tc>
          <w:tcPr>
            <w:tcW w:w="1300" w:type="dxa"/>
            <w:tcBorders>
              <w:top w:val="nil"/>
              <w:left w:val="nil"/>
              <w:bottom w:val="nil"/>
              <w:right w:val="nil"/>
            </w:tcBorders>
            <w:shd w:val="clear" w:color="auto" w:fill="auto"/>
            <w:vAlign w:val="center"/>
            <w:hideMark/>
          </w:tcPr>
          <w:p w14:paraId="0862C8AD" w14:textId="77777777" w:rsidR="007616F3" w:rsidRPr="007616F3" w:rsidRDefault="007616F3" w:rsidP="00BF75F6">
            <w:pPr>
              <w:rPr>
                <w:color w:val="000000"/>
                <w:sz w:val="20"/>
                <w:szCs w:val="20"/>
              </w:rPr>
            </w:pPr>
            <w:r w:rsidRPr="007616F3">
              <w:rPr>
                <w:color w:val="000000"/>
                <w:sz w:val="20"/>
                <w:szCs w:val="20"/>
              </w:rPr>
              <w:t>2.32</w:t>
            </w:r>
          </w:p>
        </w:tc>
        <w:tc>
          <w:tcPr>
            <w:tcW w:w="1300" w:type="dxa"/>
            <w:tcBorders>
              <w:top w:val="nil"/>
              <w:left w:val="nil"/>
              <w:bottom w:val="nil"/>
              <w:right w:val="nil"/>
            </w:tcBorders>
            <w:shd w:val="clear" w:color="auto" w:fill="auto"/>
            <w:vAlign w:val="center"/>
            <w:hideMark/>
          </w:tcPr>
          <w:p w14:paraId="50B95B81" w14:textId="77777777" w:rsidR="007616F3" w:rsidRPr="007616F3" w:rsidRDefault="007616F3" w:rsidP="00BF75F6">
            <w:pPr>
              <w:rPr>
                <w:color w:val="000000"/>
                <w:sz w:val="20"/>
                <w:szCs w:val="20"/>
              </w:rPr>
            </w:pPr>
            <w:r w:rsidRPr="007616F3">
              <w:rPr>
                <w:color w:val="000000"/>
                <w:sz w:val="20"/>
                <w:szCs w:val="20"/>
              </w:rPr>
              <w:t>.022</w:t>
            </w:r>
          </w:p>
        </w:tc>
        <w:tc>
          <w:tcPr>
            <w:tcW w:w="1300" w:type="dxa"/>
            <w:tcBorders>
              <w:top w:val="nil"/>
              <w:left w:val="nil"/>
              <w:bottom w:val="nil"/>
              <w:right w:val="nil"/>
            </w:tcBorders>
            <w:shd w:val="clear" w:color="auto" w:fill="auto"/>
            <w:vAlign w:val="center"/>
            <w:hideMark/>
          </w:tcPr>
          <w:p w14:paraId="71F848B7" w14:textId="77777777" w:rsidR="007616F3" w:rsidRPr="007616F3" w:rsidRDefault="007616F3" w:rsidP="00BF75F6">
            <w:pPr>
              <w:rPr>
                <w:color w:val="000000"/>
                <w:sz w:val="20"/>
                <w:szCs w:val="20"/>
              </w:rPr>
            </w:pPr>
            <w:r w:rsidRPr="007616F3">
              <w:rPr>
                <w:color w:val="000000"/>
                <w:sz w:val="20"/>
                <w:szCs w:val="20"/>
              </w:rPr>
              <w:t>0.09, 1.09</w:t>
            </w:r>
          </w:p>
        </w:tc>
      </w:tr>
      <w:tr w:rsidR="007616F3" w:rsidRPr="007616F3" w14:paraId="473A2710" w14:textId="77777777" w:rsidTr="00BF75F6">
        <w:trPr>
          <w:trHeight w:val="360"/>
        </w:trPr>
        <w:tc>
          <w:tcPr>
            <w:tcW w:w="1760" w:type="dxa"/>
            <w:tcBorders>
              <w:top w:val="nil"/>
              <w:left w:val="nil"/>
              <w:bottom w:val="nil"/>
              <w:right w:val="nil"/>
            </w:tcBorders>
            <w:shd w:val="clear" w:color="auto" w:fill="auto"/>
            <w:vAlign w:val="center"/>
            <w:hideMark/>
          </w:tcPr>
          <w:p w14:paraId="7705B134" w14:textId="3149101B" w:rsidR="007616F3" w:rsidRPr="007616F3" w:rsidRDefault="007616F3" w:rsidP="00BF75F6">
            <w:pPr>
              <w:rPr>
                <w:b/>
                <w:bCs/>
                <w:i/>
                <w:iCs/>
                <w:color w:val="000000"/>
                <w:sz w:val="20"/>
                <w:szCs w:val="20"/>
              </w:rPr>
            </w:pPr>
            <w:r w:rsidRPr="007616F3">
              <w:rPr>
                <w:b/>
                <w:bCs/>
                <w:i/>
                <w:iCs/>
                <w:color w:val="000000"/>
                <w:sz w:val="20"/>
                <w:szCs w:val="20"/>
              </w:rPr>
              <w:t>CM</w:t>
            </w:r>
            <w:r w:rsidRPr="007616F3">
              <w:rPr>
                <w:b/>
                <w:bCs/>
                <w:color w:val="000000"/>
                <w:sz w:val="20"/>
                <w:szCs w:val="20"/>
              </w:rPr>
              <w:t xml:space="preserve"> x </w:t>
            </w:r>
            <w:r w:rsidR="008443CF">
              <w:rPr>
                <w:b/>
                <w:bCs/>
                <w:color w:val="000000"/>
                <w:sz w:val="20"/>
                <w:szCs w:val="20"/>
              </w:rPr>
              <w:t>MDD</w:t>
            </w:r>
          </w:p>
        </w:tc>
        <w:tc>
          <w:tcPr>
            <w:tcW w:w="1300" w:type="dxa"/>
            <w:tcBorders>
              <w:top w:val="nil"/>
              <w:left w:val="nil"/>
              <w:bottom w:val="nil"/>
              <w:right w:val="nil"/>
            </w:tcBorders>
            <w:shd w:val="clear" w:color="auto" w:fill="auto"/>
            <w:vAlign w:val="center"/>
            <w:hideMark/>
          </w:tcPr>
          <w:p w14:paraId="306BFDCB" w14:textId="77777777" w:rsidR="007616F3" w:rsidRPr="007616F3" w:rsidRDefault="007616F3" w:rsidP="00BF75F6">
            <w:pPr>
              <w:rPr>
                <w:color w:val="000000"/>
                <w:sz w:val="20"/>
                <w:szCs w:val="20"/>
              </w:rPr>
            </w:pPr>
            <w:r w:rsidRPr="007616F3">
              <w:rPr>
                <w:color w:val="000000"/>
                <w:sz w:val="20"/>
                <w:szCs w:val="20"/>
              </w:rPr>
              <w:t>-0.87</w:t>
            </w:r>
          </w:p>
        </w:tc>
        <w:tc>
          <w:tcPr>
            <w:tcW w:w="1300" w:type="dxa"/>
            <w:tcBorders>
              <w:top w:val="nil"/>
              <w:left w:val="nil"/>
              <w:bottom w:val="nil"/>
              <w:right w:val="nil"/>
            </w:tcBorders>
            <w:shd w:val="clear" w:color="auto" w:fill="auto"/>
            <w:vAlign w:val="center"/>
            <w:hideMark/>
          </w:tcPr>
          <w:p w14:paraId="39F42FC9" w14:textId="77777777" w:rsidR="007616F3" w:rsidRPr="007616F3" w:rsidRDefault="007616F3" w:rsidP="00BF75F6">
            <w:pPr>
              <w:rPr>
                <w:color w:val="000000"/>
                <w:sz w:val="20"/>
                <w:szCs w:val="20"/>
              </w:rPr>
            </w:pPr>
            <w:r w:rsidRPr="007616F3">
              <w:rPr>
                <w:color w:val="000000"/>
                <w:sz w:val="20"/>
                <w:szCs w:val="20"/>
              </w:rPr>
              <w:t>0.39</w:t>
            </w:r>
          </w:p>
        </w:tc>
        <w:tc>
          <w:tcPr>
            <w:tcW w:w="1300" w:type="dxa"/>
            <w:tcBorders>
              <w:top w:val="nil"/>
              <w:left w:val="nil"/>
              <w:bottom w:val="nil"/>
              <w:right w:val="nil"/>
            </w:tcBorders>
            <w:shd w:val="clear" w:color="auto" w:fill="auto"/>
            <w:vAlign w:val="center"/>
            <w:hideMark/>
          </w:tcPr>
          <w:p w14:paraId="67DA0018" w14:textId="77777777" w:rsidR="007616F3" w:rsidRPr="007616F3" w:rsidRDefault="007616F3" w:rsidP="00BF75F6">
            <w:pPr>
              <w:rPr>
                <w:color w:val="000000"/>
                <w:sz w:val="20"/>
                <w:szCs w:val="20"/>
              </w:rPr>
            </w:pPr>
            <w:r w:rsidRPr="007616F3">
              <w:rPr>
                <w:color w:val="000000"/>
                <w:sz w:val="20"/>
                <w:szCs w:val="20"/>
              </w:rPr>
              <w:t>-2.20</w:t>
            </w:r>
          </w:p>
        </w:tc>
        <w:tc>
          <w:tcPr>
            <w:tcW w:w="1300" w:type="dxa"/>
            <w:tcBorders>
              <w:top w:val="nil"/>
              <w:left w:val="nil"/>
              <w:bottom w:val="nil"/>
              <w:right w:val="nil"/>
            </w:tcBorders>
            <w:shd w:val="clear" w:color="auto" w:fill="auto"/>
            <w:vAlign w:val="center"/>
            <w:hideMark/>
          </w:tcPr>
          <w:p w14:paraId="31427CE6" w14:textId="77777777" w:rsidR="007616F3" w:rsidRPr="007616F3" w:rsidRDefault="007616F3" w:rsidP="00BF75F6">
            <w:pPr>
              <w:rPr>
                <w:color w:val="000000"/>
                <w:sz w:val="20"/>
                <w:szCs w:val="20"/>
              </w:rPr>
            </w:pPr>
            <w:r w:rsidRPr="007616F3">
              <w:rPr>
                <w:color w:val="000000"/>
                <w:sz w:val="20"/>
                <w:szCs w:val="20"/>
              </w:rPr>
              <w:t>.030*</w:t>
            </w:r>
          </w:p>
        </w:tc>
        <w:tc>
          <w:tcPr>
            <w:tcW w:w="1300" w:type="dxa"/>
            <w:tcBorders>
              <w:top w:val="nil"/>
              <w:left w:val="nil"/>
              <w:bottom w:val="nil"/>
              <w:right w:val="nil"/>
            </w:tcBorders>
            <w:shd w:val="clear" w:color="auto" w:fill="auto"/>
            <w:vAlign w:val="center"/>
            <w:hideMark/>
          </w:tcPr>
          <w:p w14:paraId="5EBE57C6" w14:textId="77777777" w:rsidR="007616F3" w:rsidRPr="007616F3" w:rsidRDefault="007616F3" w:rsidP="00BF75F6">
            <w:pPr>
              <w:rPr>
                <w:color w:val="000000"/>
                <w:sz w:val="20"/>
                <w:szCs w:val="20"/>
              </w:rPr>
            </w:pPr>
            <w:r w:rsidRPr="007616F3">
              <w:rPr>
                <w:color w:val="000000"/>
                <w:sz w:val="20"/>
                <w:szCs w:val="20"/>
              </w:rPr>
              <w:t>-1.65, -0.09</w:t>
            </w:r>
          </w:p>
        </w:tc>
      </w:tr>
      <w:tr w:rsidR="007616F3" w:rsidRPr="007616F3" w14:paraId="27BF775E" w14:textId="77777777" w:rsidTr="00BF75F6">
        <w:trPr>
          <w:trHeight w:val="820"/>
        </w:trPr>
        <w:tc>
          <w:tcPr>
            <w:tcW w:w="8260" w:type="dxa"/>
            <w:gridSpan w:val="6"/>
            <w:tcBorders>
              <w:top w:val="single" w:sz="8" w:space="0" w:color="auto"/>
              <w:left w:val="nil"/>
              <w:bottom w:val="nil"/>
              <w:right w:val="nil"/>
            </w:tcBorders>
            <w:shd w:val="clear" w:color="auto" w:fill="auto"/>
            <w:vAlign w:val="center"/>
            <w:hideMark/>
          </w:tcPr>
          <w:p w14:paraId="1CF96C61" w14:textId="1B981F8F" w:rsidR="007616F3" w:rsidRPr="007616F3" w:rsidRDefault="007616F3" w:rsidP="00BF75F6">
            <w:pPr>
              <w:rPr>
                <w:color w:val="000000"/>
                <w:sz w:val="20"/>
                <w:szCs w:val="20"/>
              </w:rPr>
            </w:pPr>
            <w:r w:rsidRPr="007616F3">
              <w:rPr>
                <w:color w:val="000000"/>
                <w:sz w:val="20"/>
                <w:szCs w:val="20"/>
              </w:rPr>
              <w:t xml:space="preserve">Note: DV = dependent variable; CI95 = 95% confidence interval; SE = robust standard error; CM = severe childhood maltreatment; </w:t>
            </w:r>
            <w:r w:rsidR="008443CF">
              <w:rPr>
                <w:color w:val="000000"/>
                <w:sz w:val="20"/>
                <w:szCs w:val="20"/>
              </w:rPr>
              <w:t xml:space="preserve">MDD = major depressive disorder; </w:t>
            </w:r>
            <w:r w:rsidRPr="007616F3">
              <w:rPr>
                <w:color w:val="000000"/>
                <w:sz w:val="20"/>
                <w:szCs w:val="20"/>
              </w:rPr>
              <w:t xml:space="preserve">OEA = </w:t>
            </w:r>
            <w:proofErr w:type="spellStart"/>
            <w:r w:rsidRPr="007616F3">
              <w:rPr>
                <w:color w:val="000000"/>
                <w:sz w:val="20"/>
                <w:szCs w:val="20"/>
              </w:rPr>
              <w:t>oleoylethanolamide</w:t>
            </w:r>
            <w:proofErr w:type="spellEnd"/>
            <w:r w:rsidRPr="007616F3">
              <w:rPr>
                <w:color w:val="000000"/>
                <w:sz w:val="20"/>
                <w:szCs w:val="20"/>
              </w:rPr>
              <w:t xml:space="preserve">; PEA = </w:t>
            </w:r>
            <w:proofErr w:type="spellStart"/>
            <w:r w:rsidRPr="007616F3">
              <w:rPr>
                <w:color w:val="000000"/>
                <w:sz w:val="20"/>
                <w:szCs w:val="20"/>
              </w:rPr>
              <w:t>palmitoylethanolamide</w:t>
            </w:r>
            <w:proofErr w:type="spellEnd"/>
            <w:r w:rsidRPr="007616F3">
              <w:rPr>
                <w:color w:val="000000"/>
                <w:sz w:val="20"/>
                <w:szCs w:val="20"/>
              </w:rPr>
              <w:t xml:space="preserve"> </w:t>
            </w:r>
            <w:r w:rsidRPr="007616F3">
              <w:rPr>
                <w:color w:val="000000"/>
                <w:sz w:val="20"/>
                <w:szCs w:val="20"/>
              </w:rPr>
              <w:br/>
              <w:t>*</w:t>
            </w:r>
            <w:r w:rsidRPr="007616F3">
              <w:rPr>
                <w:i/>
                <w:iCs/>
                <w:color w:val="000000"/>
                <w:sz w:val="20"/>
                <w:szCs w:val="20"/>
              </w:rPr>
              <w:t>p</w:t>
            </w:r>
            <w:r w:rsidRPr="007616F3">
              <w:rPr>
                <w:color w:val="000000"/>
                <w:sz w:val="20"/>
                <w:szCs w:val="20"/>
              </w:rPr>
              <w:t xml:space="preserve"> &lt; .05</w:t>
            </w:r>
          </w:p>
        </w:tc>
      </w:tr>
    </w:tbl>
    <w:p w14:paraId="39C4B672" w14:textId="77777777" w:rsidR="00FA1AD9" w:rsidRPr="007616F3" w:rsidRDefault="00FA1AD9" w:rsidP="00FA1AD9"/>
    <w:p w14:paraId="4A97F7AC" w14:textId="77777777" w:rsidR="00FA1AD9" w:rsidRPr="007616F3" w:rsidRDefault="00FA1AD9" w:rsidP="00FA1AD9">
      <w:pPr>
        <w:spacing w:line="480" w:lineRule="auto"/>
        <w:jc w:val="center"/>
        <w:rPr>
          <w:b/>
        </w:rPr>
      </w:pPr>
      <w:r w:rsidRPr="007616F3">
        <w:rPr>
          <w:b/>
        </w:rPr>
        <w:t>Supplementary References</w:t>
      </w:r>
    </w:p>
    <w:p w14:paraId="772DD07C" w14:textId="77777777" w:rsidR="00FF743D" w:rsidRPr="00FF743D" w:rsidRDefault="007616F3" w:rsidP="00FF743D">
      <w:pPr>
        <w:pStyle w:val="Bibliography"/>
        <w:rPr>
          <w:lang w:val="en-US"/>
        </w:rPr>
      </w:pPr>
      <w:r w:rsidRPr="007616F3">
        <w:fldChar w:fldCharType="begin"/>
      </w:r>
      <w:r w:rsidR="00FF743D">
        <w:instrText xml:space="preserve"> ADDIN ZOTERO_BIBL {"uncited":[],"omitted":[],"custom":[]} CSL_BIBLIOGRAPHY </w:instrText>
      </w:r>
      <w:r w:rsidRPr="007616F3">
        <w:fldChar w:fldCharType="separate"/>
      </w:r>
      <w:r w:rsidR="00FF743D" w:rsidRPr="00FF743D">
        <w:rPr>
          <w:lang w:val="en-US"/>
        </w:rPr>
        <w:t xml:space="preserve">1 </w:t>
      </w:r>
      <w:r w:rsidR="00FF743D" w:rsidRPr="00FF743D">
        <w:rPr>
          <w:lang w:val="en-US"/>
        </w:rPr>
        <w:tab/>
        <w:t xml:space="preserve">Cunningham S, Mazurka R, Wynne-Edwards KE, </w:t>
      </w:r>
      <w:proofErr w:type="spellStart"/>
      <w:r w:rsidR="00FF743D" w:rsidRPr="00FF743D">
        <w:rPr>
          <w:lang w:val="en-US"/>
        </w:rPr>
        <w:t>Milev</w:t>
      </w:r>
      <w:proofErr w:type="spellEnd"/>
      <w:r w:rsidR="00FF743D" w:rsidRPr="00FF743D">
        <w:rPr>
          <w:lang w:val="en-US"/>
        </w:rPr>
        <w:t xml:space="preserve"> RV, </w:t>
      </w:r>
      <w:proofErr w:type="spellStart"/>
      <w:r w:rsidR="00FF743D" w:rsidRPr="00FF743D">
        <w:rPr>
          <w:lang w:val="en-US"/>
        </w:rPr>
        <w:t>Pizzagalli</w:t>
      </w:r>
      <w:proofErr w:type="spellEnd"/>
      <w:r w:rsidR="00FF743D" w:rsidRPr="00FF743D">
        <w:rPr>
          <w:lang w:val="en-US"/>
        </w:rPr>
        <w:t xml:space="preserve"> DA, Kennedy S </w:t>
      </w:r>
      <w:r w:rsidR="00FF743D" w:rsidRPr="00FF743D">
        <w:rPr>
          <w:i/>
          <w:iCs/>
          <w:lang w:val="en-US"/>
        </w:rPr>
        <w:t>et al.</w:t>
      </w:r>
      <w:r w:rsidR="00FF743D" w:rsidRPr="00FF743D">
        <w:rPr>
          <w:lang w:val="en-US"/>
        </w:rPr>
        <w:t xml:space="preserve"> Cortisol reactivity to stress predicts behavioral responsivity to reward moderation by sex, depression, and anhedonia. </w:t>
      </w:r>
      <w:r w:rsidR="00FF743D" w:rsidRPr="00FF743D">
        <w:rPr>
          <w:i/>
          <w:iCs/>
          <w:lang w:val="en-US"/>
        </w:rPr>
        <w:t>Journal of Affective Disorders</w:t>
      </w:r>
      <w:r w:rsidR="00FF743D" w:rsidRPr="00FF743D">
        <w:rPr>
          <w:lang w:val="en-US"/>
        </w:rPr>
        <w:t xml:space="preserve"> 2021; </w:t>
      </w:r>
      <w:r w:rsidR="00FF743D" w:rsidRPr="00FF743D">
        <w:rPr>
          <w:b/>
          <w:bCs/>
          <w:lang w:val="en-US"/>
        </w:rPr>
        <w:t>293</w:t>
      </w:r>
      <w:r w:rsidR="00FF743D" w:rsidRPr="00FF743D">
        <w:rPr>
          <w:lang w:val="en-US"/>
        </w:rPr>
        <w:t>: 1–8.</w:t>
      </w:r>
    </w:p>
    <w:p w14:paraId="33A422DA" w14:textId="77777777" w:rsidR="00FF743D" w:rsidRPr="00FF743D" w:rsidRDefault="00FF743D" w:rsidP="00FF743D">
      <w:pPr>
        <w:pStyle w:val="Bibliography"/>
        <w:rPr>
          <w:lang w:val="en-US"/>
        </w:rPr>
      </w:pPr>
      <w:r w:rsidRPr="00FF743D">
        <w:rPr>
          <w:lang w:val="en-US"/>
        </w:rPr>
        <w:t xml:space="preserve">2 </w:t>
      </w:r>
      <w:r w:rsidRPr="00FF743D">
        <w:rPr>
          <w:lang w:val="en-US"/>
        </w:rPr>
        <w:tab/>
      </w:r>
      <w:proofErr w:type="spellStart"/>
      <w:r w:rsidRPr="00FF743D">
        <w:rPr>
          <w:lang w:val="en-US"/>
        </w:rPr>
        <w:t>Bifulco</w:t>
      </w:r>
      <w:proofErr w:type="spellEnd"/>
      <w:r w:rsidRPr="00FF743D">
        <w:rPr>
          <w:lang w:val="en-US"/>
        </w:rPr>
        <w:t xml:space="preserve"> A, Brown GW, Harris TO. Childhood experience of care and abuse (CECA): A retrospective interview measure. </w:t>
      </w:r>
      <w:r w:rsidRPr="00FF743D">
        <w:rPr>
          <w:i/>
          <w:iCs/>
          <w:lang w:val="en-US"/>
        </w:rPr>
        <w:t>Journal of Child Psychology and Psychiatry and Allied Disciplines</w:t>
      </w:r>
      <w:r w:rsidRPr="00FF743D">
        <w:rPr>
          <w:lang w:val="en-US"/>
        </w:rPr>
        <w:t xml:space="preserve"> 1994; </w:t>
      </w:r>
      <w:r w:rsidRPr="00FF743D">
        <w:rPr>
          <w:b/>
          <w:bCs/>
          <w:lang w:val="en-US"/>
        </w:rPr>
        <w:t>35</w:t>
      </w:r>
      <w:r w:rsidRPr="00FF743D">
        <w:rPr>
          <w:lang w:val="en-US"/>
        </w:rPr>
        <w:t>: 1419–1435.</w:t>
      </w:r>
    </w:p>
    <w:p w14:paraId="3AD9DE23" w14:textId="77777777" w:rsidR="00FF743D" w:rsidRPr="00FF743D" w:rsidRDefault="00FF743D" w:rsidP="00FF743D">
      <w:pPr>
        <w:pStyle w:val="Bibliography"/>
        <w:rPr>
          <w:lang w:val="en-US"/>
        </w:rPr>
      </w:pPr>
      <w:r w:rsidRPr="00FF743D">
        <w:rPr>
          <w:lang w:val="en-US"/>
        </w:rPr>
        <w:t xml:space="preserve">3 </w:t>
      </w:r>
      <w:r w:rsidRPr="00FF743D">
        <w:rPr>
          <w:lang w:val="en-US"/>
        </w:rPr>
        <w:tab/>
        <w:t xml:space="preserve">Harkness KL, Monroe SM. The assessment and measurement of adult life stress: Basic premises, operational principles, and design requirements. </w:t>
      </w:r>
      <w:r w:rsidRPr="00FF743D">
        <w:rPr>
          <w:i/>
          <w:iCs/>
          <w:lang w:val="en-US"/>
        </w:rPr>
        <w:t>Journal of Abnormal Psychology</w:t>
      </w:r>
      <w:r w:rsidRPr="00FF743D">
        <w:rPr>
          <w:lang w:val="en-US"/>
        </w:rPr>
        <w:t xml:space="preserve"> 2016; </w:t>
      </w:r>
      <w:r w:rsidRPr="00FF743D">
        <w:rPr>
          <w:b/>
          <w:bCs/>
          <w:lang w:val="en-US"/>
        </w:rPr>
        <w:t>125</w:t>
      </w:r>
      <w:r w:rsidRPr="00FF743D">
        <w:rPr>
          <w:lang w:val="en-US"/>
        </w:rPr>
        <w:t>: 727–745.</w:t>
      </w:r>
    </w:p>
    <w:p w14:paraId="532BAF7E" w14:textId="77777777" w:rsidR="00FF743D" w:rsidRPr="00FF743D" w:rsidRDefault="00FF743D" w:rsidP="00FF743D">
      <w:pPr>
        <w:pStyle w:val="Bibliography"/>
        <w:rPr>
          <w:lang w:val="en-US"/>
        </w:rPr>
      </w:pPr>
      <w:r w:rsidRPr="00FF743D">
        <w:rPr>
          <w:lang w:val="en-US"/>
        </w:rPr>
        <w:t xml:space="preserve">4 </w:t>
      </w:r>
      <w:r w:rsidRPr="00FF743D">
        <w:rPr>
          <w:lang w:val="en-US"/>
        </w:rPr>
        <w:tab/>
        <w:t xml:space="preserve">MacQueen GM, Hassel S, Arnott SR, Addington J, Bowie CR, Bray SL </w:t>
      </w:r>
      <w:r w:rsidRPr="00FF743D">
        <w:rPr>
          <w:i/>
          <w:iCs/>
          <w:lang w:val="en-US"/>
        </w:rPr>
        <w:t>et al.</w:t>
      </w:r>
      <w:r w:rsidRPr="00FF743D">
        <w:rPr>
          <w:lang w:val="en-US"/>
        </w:rPr>
        <w:t xml:space="preserve"> The Canadian Biomarker Integration Network in Depression (CAN-BIND): magnetic resonance imaging protocols. </w:t>
      </w:r>
      <w:r w:rsidRPr="00FF743D">
        <w:rPr>
          <w:i/>
          <w:iCs/>
          <w:lang w:val="en-US"/>
        </w:rPr>
        <w:t>Journal of Psychiatry and Neuroscience</w:t>
      </w:r>
      <w:r w:rsidRPr="00FF743D">
        <w:rPr>
          <w:lang w:val="en-US"/>
        </w:rPr>
        <w:t xml:space="preserve"> 2019; </w:t>
      </w:r>
      <w:r w:rsidRPr="00FF743D">
        <w:rPr>
          <w:b/>
          <w:bCs/>
          <w:lang w:val="en-US"/>
        </w:rPr>
        <w:t>44</w:t>
      </w:r>
      <w:r w:rsidRPr="00FF743D">
        <w:rPr>
          <w:lang w:val="en-US"/>
        </w:rPr>
        <w:t>: 223–236.</w:t>
      </w:r>
    </w:p>
    <w:p w14:paraId="1BEF772B" w14:textId="6BE263A0" w:rsidR="00001F1C" w:rsidRPr="007616F3" w:rsidRDefault="007616F3" w:rsidP="00816D1E">
      <w:pPr>
        <w:pStyle w:val="NormalWeb"/>
        <w:spacing w:before="0" w:beforeAutospacing="0" w:after="0" w:afterAutospacing="0" w:line="480" w:lineRule="auto"/>
        <w:ind w:left="480" w:hanging="480"/>
      </w:pPr>
      <w:r w:rsidRPr="007616F3">
        <w:fldChar w:fldCharType="end"/>
      </w:r>
    </w:p>
    <w:sectPr w:rsidR="00001F1C" w:rsidRPr="007616F3" w:rsidSect="0064436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B1298" w14:textId="77777777" w:rsidR="00BA2382" w:rsidRDefault="00BA2382">
      <w:r>
        <w:separator/>
      </w:r>
    </w:p>
  </w:endnote>
  <w:endnote w:type="continuationSeparator" w:id="0">
    <w:p w14:paraId="2B4A7B3F" w14:textId="77777777" w:rsidR="00BA2382" w:rsidRDefault="00BA2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81807" w14:textId="77777777" w:rsidR="00BA2382" w:rsidRDefault="00BA2382">
      <w:r>
        <w:separator/>
      </w:r>
    </w:p>
  </w:footnote>
  <w:footnote w:type="continuationSeparator" w:id="0">
    <w:p w14:paraId="20EFF4D7" w14:textId="77777777" w:rsidR="00BA2382" w:rsidRDefault="00BA2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F5387" w14:textId="77777777" w:rsidR="00982E7E" w:rsidRDefault="00982E7E" w:rsidP="00D757AE">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D9"/>
    <w:rsid w:val="00001F1C"/>
    <w:rsid w:val="00006DA4"/>
    <w:rsid w:val="000112FB"/>
    <w:rsid w:val="0009094B"/>
    <w:rsid w:val="001033A8"/>
    <w:rsid w:val="0010692A"/>
    <w:rsid w:val="001E5B4B"/>
    <w:rsid w:val="0021012D"/>
    <w:rsid w:val="00212384"/>
    <w:rsid w:val="00401806"/>
    <w:rsid w:val="0044066F"/>
    <w:rsid w:val="004C31C0"/>
    <w:rsid w:val="004E1C77"/>
    <w:rsid w:val="005363D8"/>
    <w:rsid w:val="005E6607"/>
    <w:rsid w:val="00644363"/>
    <w:rsid w:val="00696A61"/>
    <w:rsid w:val="007132B4"/>
    <w:rsid w:val="007616F3"/>
    <w:rsid w:val="007A148C"/>
    <w:rsid w:val="00816D1E"/>
    <w:rsid w:val="00817E9F"/>
    <w:rsid w:val="008348E2"/>
    <w:rsid w:val="008443CF"/>
    <w:rsid w:val="0086430D"/>
    <w:rsid w:val="008A1352"/>
    <w:rsid w:val="009473AB"/>
    <w:rsid w:val="00982E7E"/>
    <w:rsid w:val="009A421B"/>
    <w:rsid w:val="009B67F4"/>
    <w:rsid w:val="009B732A"/>
    <w:rsid w:val="009E0B8C"/>
    <w:rsid w:val="00A03BE4"/>
    <w:rsid w:val="00A61D2A"/>
    <w:rsid w:val="00AA40E0"/>
    <w:rsid w:val="00B7023C"/>
    <w:rsid w:val="00BA2382"/>
    <w:rsid w:val="00C122F3"/>
    <w:rsid w:val="00C422CA"/>
    <w:rsid w:val="00C5471A"/>
    <w:rsid w:val="00C63A0A"/>
    <w:rsid w:val="00CC358B"/>
    <w:rsid w:val="00CC7E8B"/>
    <w:rsid w:val="00D75266"/>
    <w:rsid w:val="00F06096"/>
    <w:rsid w:val="00F25F6C"/>
    <w:rsid w:val="00FA1AD9"/>
    <w:rsid w:val="00FF74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4448C"/>
  <w15:chartTrackingRefBased/>
  <w15:docId w15:val="{A023CFDD-F319-6F43-99DA-F2AE22C2F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AD9"/>
    <w:rPr>
      <w:rFonts w:ascii="Times New Roman" w:eastAsia="Times New Roman" w:hAnsi="Times New Roman" w:cs="Times New Roman"/>
    </w:rPr>
  </w:style>
  <w:style w:type="paragraph" w:styleId="Heading1">
    <w:name w:val="heading 1"/>
    <w:basedOn w:val="Normal"/>
    <w:next w:val="Normal"/>
    <w:link w:val="Heading1Char"/>
    <w:uiPriority w:val="9"/>
    <w:qFormat/>
    <w:rsid w:val="00FA1A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A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A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A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A1A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A1AD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A1AD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A1AD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A1AD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A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A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A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A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A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AD9"/>
    <w:rPr>
      <w:rFonts w:eastAsiaTheme="majorEastAsia" w:cstheme="majorBidi"/>
      <w:color w:val="272727" w:themeColor="text1" w:themeTint="D8"/>
    </w:rPr>
  </w:style>
  <w:style w:type="paragraph" w:styleId="Title">
    <w:name w:val="Title"/>
    <w:basedOn w:val="Normal"/>
    <w:next w:val="Normal"/>
    <w:link w:val="TitleChar"/>
    <w:uiPriority w:val="10"/>
    <w:qFormat/>
    <w:rsid w:val="00FA1A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AD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AD9"/>
    <w:pPr>
      <w:spacing w:before="160" w:after="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FA1AD9"/>
    <w:rPr>
      <w:i/>
      <w:iCs/>
      <w:color w:val="404040" w:themeColor="text1" w:themeTint="BF"/>
    </w:rPr>
  </w:style>
  <w:style w:type="paragraph" w:styleId="ListParagraph">
    <w:name w:val="List Paragraph"/>
    <w:basedOn w:val="Normal"/>
    <w:uiPriority w:val="34"/>
    <w:qFormat/>
    <w:rsid w:val="00FA1AD9"/>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FA1AD9"/>
    <w:rPr>
      <w:i/>
      <w:iCs/>
      <w:color w:val="0F4761" w:themeColor="accent1" w:themeShade="BF"/>
    </w:rPr>
  </w:style>
  <w:style w:type="paragraph" w:styleId="IntenseQuote">
    <w:name w:val="Intense Quote"/>
    <w:basedOn w:val="Normal"/>
    <w:next w:val="Normal"/>
    <w:link w:val="IntenseQuoteChar"/>
    <w:uiPriority w:val="30"/>
    <w:qFormat/>
    <w:rsid w:val="00FA1AD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FA1AD9"/>
    <w:rPr>
      <w:i/>
      <w:iCs/>
      <w:color w:val="0F4761" w:themeColor="accent1" w:themeShade="BF"/>
    </w:rPr>
  </w:style>
  <w:style w:type="character" w:styleId="IntenseReference">
    <w:name w:val="Intense Reference"/>
    <w:basedOn w:val="DefaultParagraphFont"/>
    <w:uiPriority w:val="32"/>
    <w:qFormat/>
    <w:rsid w:val="00FA1AD9"/>
    <w:rPr>
      <w:b/>
      <w:bCs/>
      <w:smallCaps/>
      <w:color w:val="0F4761" w:themeColor="accent1" w:themeShade="BF"/>
      <w:spacing w:val="5"/>
    </w:rPr>
  </w:style>
  <w:style w:type="character" w:styleId="Hyperlink">
    <w:name w:val="Hyperlink"/>
    <w:uiPriority w:val="99"/>
    <w:unhideWhenUsed/>
    <w:rsid w:val="00FA1AD9"/>
    <w:rPr>
      <w:color w:val="0563C1"/>
      <w:u w:val="single"/>
    </w:rPr>
  </w:style>
  <w:style w:type="paragraph" w:styleId="Header">
    <w:name w:val="header"/>
    <w:basedOn w:val="Normal"/>
    <w:link w:val="HeaderChar"/>
    <w:uiPriority w:val="99"/>
    <w:unhideWhenUsed/>
    <w:rsid w:val="00FA1AD9"/>
    <w:pPr>
      <w:tabs>
        <w:tab w:val="center" w:pos="4680"/>
        <w:tab w:val="right" w:pos="9360"/>
      </w:tabs>
    </w:pPr>
    <w:rPr>
      <w:rFonts w:ascii="Calibri" w:eastAsia="Calibri" w:hAnsi="Calibri"/>
    </w:rPr>
  </w:style>
  <w:style w:type="character" w:customStyle="1" w:styleId="HeaderChar">
    <w:name w:val="Header Char"/>
    <w:basedOn w:val="DefaultParagraphFont"/>
    <w:link w:val="Header"/>
    <w:uiPriority w:val="99"/>
    <w:rsid w:val="00FA1AD9"/>
    <w:rPr>
      <w:rFonts w:ascii="Calibri" w:eastAsia="Calibri" w:hAnsi="Calibri" w:cs="Times New Roman"/>
    </w:rPr>
  </w:style>
  <w:style w:type="paragraph" w:styleId="NormalWeb">
    <w:name w:val="Normal (Web)"/>
    <w:basedOn w:val="Normal"/>
    <w:uiPriority w:val="99"/>
    <w:unhideWhenUsed/>
    <w:rsid w:val="00FA1AD9"/>
    <w:pPr>
      <w:spacing w:before="100" w:beforeAutospacing="1" w:after="100" w:afterAutospacing="1"/>
    </w:pPr>
  </w:style>
  <w:style w:type="paragraph" w:styleId="Bibliography">
    <w:name w:val="Bibliography"/>
    <w:basedOn w:val="Normal"/>
    <w:next w:val="Normal"/>
    <w:uiPriority w:val="37"/>
    <w:unhideWhenUsed/>
    <w:rsid w:val="007616F3"/>
    <w:pPr>
      <w:tabs>
        <w:tab w:val="left" w:pos="260"/>
        <w:tab w:val="left" w:pos="380"/>
      </w:tabs>
      <w:spacing w:after="240"/>
      <w:ind w:left="264" w:hanging="264"/>
    </w:pPr>
  </w:style>
  <w:style w:type="character" w:styleId="CommentReference">
    <w:name w:val="annotation reference"/>
    <w:basedOn w:val="DefaultParagraphFont"/>
    <w:uiPriority w:val="99"/>
    <w:semiHidden/>
    <w:unhideWhenUsed/>
    <w:rsid w:val="001E5B4B"/>
    <w:rPr>
      <w:sz w:val="16"/>
      <w:szCs w:val="16"/>
    </w:rPr>
  </w:style>
  <w:style w:type="paragraph" w:styleId="CommentText">
    <w:name w:val="annotation text"/>
    <w:basedOn w:val="Normal"/>
    <w:link w:val="CommentTextChar"/>
    <w:uiPriority w:val="99"/>
    <w:semiHidden/>
    <w:unhideWhenUsed/>
    <w:rsid w:val="001E5B4B"/>
    <w:rPr>
      <w:sz w:val="20"/>
      <w:szCs w:val="20"/>
    </w:rPr>
  </w:style>
  <w:style w:type="character" w:customStyle="1" w:styleId="CommentTextChar">
    <w:name w:val="Comment Text Char"/>
    <w:basedOn w:val="DefaultParagraphFont"/>
    <w:link w:val="CommentText"/>
    <w:uiPriority w:val="99"/>
    <w:semiHidden/>
    <w:rsid w:val="001E5B4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E5B4B"/>
    <w:rPr>
      <w:b/>
      <w:bCs/>
    </w:rPr>
  </w:style>
  <w:style w:type="character" w:customStyle="1" w:styleId="CommentSubjectChar">
    <w:name w:val="Comment Subject Char"/>
    <w:basedOn w:val="CommentTextChar"/>
    <w:link w:val="CommentSubject"/>
    <w:uiPriority w:val="99"/>
    <w:semiHidden/>
    <w:rsid w:val="001E5B4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E5B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B4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3424</Words>
  <Characters>19519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Raegan Mazurka</dc:creator>
  <cp:keywords/>
  <dc:description/>
  <cp:lastModifiedBy>Raegan Mazurka</cp:lastModifiedBy>
  <cp:revision>5</cp:revision>
  <dcterms:created xsi:type="dcterms:W3CDTF">2024-07-29T13:20:00Z</dcterms:created>
  <dcterms:modified xsi:type="dcterms:W3CDTF">2024-07-29T13:21:00Z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id="KE8jcKf0"/&gt;&lt;style id="http://www.zotero.org/styles/translational-psychiatry" hasBibliography="1" bibliographyStyleHasBeenSet="1"/&gt;&lt;prefs&gt;&lt;pref name="fieldType" value="Field"/&gt;&lt;/prefs&gt;&lt;/data&gt;</vt:lpwstr>
  </property>
</Properties>
</file>