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2F016" w14:textId="77777777" w:rsidR="00582F5E" w:rsidRDefault="00582F5E" w:rsidP="00582F5E">
      <w:pPr>
        <w:jc w:val="center"/>
        <w:rPr>
          <w:rFonts w:asciiTheme="majorBidi" w:hAnsiTheme="majorBidi" w:cstheme="majorBidi"/>
          <w:b/>
          <w:bCs/>
          <w:color w:val="000000" w:themeColor="text1"/>
          <w:sz w:val="24"/>
          <w:szCs w:val="24"/>
          <w:highlight w:val="yellow"/>
        </w:rPr>
      </w:pPr>
      <w:r>
        <w:rPr>
          <w:rFonts w:asciiTheme="majorBidi" w:hAnsiTheme="majorBidi" w:cstheme="majorBidi"/>
          <w:b/>
          <w:bCs/>
          <w:noProof/>
          <w:color w:val="000000" w:themeColor="text1"/>
          <w:sz w:val="24"/>
          <w:szCs w:val="24"/>
          <w:highlight w:val="yellow"/>
        </w:rPr>
        <w:drawing>
          <wp:inline distT="0" distB="0" distL="0" distR="0" wp14:anchorId="7E771E62" wp14:editId="197EE7A4">
            <wp:extent cx="3960000" cy="5922857"/>
            <wp:effectExtent l="0" t="0" r="2540" b="0"/>
            <wp:docPr id="4" name="Picture 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with medium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60000" cy="5922857"/>
                    </a:xfrm>
                    <a:prstGeom prst="rect">
                      <a:avLst/>
                    </a:prstGeom>
                    <a:noFill/>
                    <a:ln>
                      <a:noFill/>
                    </a:ln>
                  </pic:spPr>
                </pic:pic>
              </a:graphicData>
            </a:graphic>
          </wp:inline>
        </w:drawing>
      </w:r>
    </w:p>
    <w:p w14:paraId="22314247" w14:textId="77777777" w:rsidR="00582F5E" w:rsidRDefault="00582F5E" w:rsidP="00582F5E">
      <w:pPr>
        <w:spacing w:after="0"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Supplementary </w:t>
      </w:r>
      <w:r w:rsidRPr="00747642">
        <w:rPr>
          <w:rFonts w:asciiTheme="majorBidi" w:hAnsiTheme="majorBidi" w:cstheme="majorBidi"/>
          <w:b/>
          <w:bCs/>
          <w:color w:val="000000" w:themeColor="text1"/>
          <w:sz w:val="24"/>
          <w:szCs w:val="24"/>
        </w:rPr>
        <w:t>Figure (</w:t>
      </w:r>
      <w:r w:rsidRPr="00747642">
        <w:rPr>
          <w:rFonts w:asciiTheme="majorBidi" w:hAnsiTheme="majorBidi" w:cstheme="majorBidi"/>
          <w:b/>
          <w:bCs/>
          <w:noProof/>
          <w:color w:val="000000" w:themeColor="text1"/>
          <w:sz w:val="24"/>
          <w:szCs w:val="24"/>
        </w:rPr>
        <w:t>1</w:t>
      </w:r>
      <w:r w:rsidRPr="00747642">
        <w:rPr>
          <w:rFonts w:asciiTheme="majorBidi" w:hAnsiTheme="majorBidi" w:cstheme="majorBidi"/>
          <w:b/>
          <w:bCs/>
          <w:color w:val="000000" w:themeColor="text1"/>
          <w:sz w:val="24"/>
          <w:szCs w:val="24"/>
        </w:rPr>
        <w:t xml:space="preserve">): </w:t>
      </w:r>
      <w:r w:rsidRPr="00747642">
        <w:rPr>
          <w:rFonts w:asciiTheme="majorBidi" w:hAnsiTheme="majorBidi" w:cstheme="majorBidi"/>
          <w:color w:val="000000" w:themeColor="text1"/>
          <w:sz w:val="24"/>
          <w:szCs w:val="24"/>
        </w:rPr>
        <w:t xml:space="preserve">Phylogenetic tree confirming the affiliation of the 31 clinical isolates from Egypt with </w:t>
      </w:r>
      <w:r w:rsidRPr="00747642">
        <w:rPr>
          <w:rFonts w:asciiTheme="majorBidi" w:hAnsiTheme="majorBidi" w:cstheme="majorBidi"/>
          <w:i/>
          <w:iCs/>
          <w:color w:val="000000" w:themeColor="text1"/>
          <w:sz w:val="24"/>
          <w:szCs w:val="24"/>
        </w:rPr>
        <w:t>Pseudomonas aeruginosa</w:t>
      </w:r>
      <w:r w:rsidRPr="0074764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Using </w:t>
      </w:r>
      <w:proofErr w:type="spellStart"/>
      <w:r>
        <w:rPr>
          <w:rFonts w:asciiTheme="majorBidi" w:hAnsiTheme="majorBidi" w:cstheme="majorBidi"/>
          <w:sz w:val="24"/>
          <w:szCs w:val="24"/>
        </w:rPr>
        <w:t>PhyloPhlAn</w:t>
      </w:r>
      <w:proofErr w:type="spellEnd"/>
      <w:r>
        <w:rPr>
          <w:rFonts w:asciiTheme="majorBidi" w:hAnsiTheme="majorBidi" w:cstheme="majorBidi"/>
          <w:sz w:val="24"/>
          <w:szCs w:val="24"/>
        </w:rPr>
        <w:t xml:space="preserve"> 3.0, </w:t>
      </w:r>
      <w:r>
        <w:rPr>
          <w:rFonts w:asciiTheme="majorBidi" w:hAnsiTheme="majorBidi" w:cstheme="majorBidi"/>
          <w:color w:val="000000" w:themeColor="text1"/>
          <w:sz w:val="24"/>
          <w:szCs w:val="24"/>
        </w:rPr>
        <w:t xml:space="preserve">the tree was generated from the proteomes of the 31 isolates and those of 245 reference sequences (GTDB species representatives, NCBI type material) downloaded from the Genome Taxonomy Database. The tree was annotated using </w:t>
      </w:r>
      <w:proofErr w:type="spellStart"/>
      <w:r>
        <w:rPr>
          <w:rFonts w:asciiTheme="majorBidi" w:hAnsiTheme="majorBidi" w:cstheme="majorBidi"/>
          <w:color w:val="000000" w:themeColor="text1"/>
          <w:sz w:val="24"/>
          <w:szCs w:val="24"/>
        </w:rPr>
        <w:t>iTOL</w:t>
      </w:r>
      <w:proofErr w:type="spellEnd"/>
      <w:r>
        <w:rPr>
          <w:rFonts w:asciiTheme="majorBidi" w:hAnsiTheme="majorBidi" w:cstheme="majorBidi"/>
          <w:color w:val="000000" w:themeColor="text1"/>
          <w:sz w:val="24"/>
          <w:szCs w:val="24"/>
        </w:rPr>
        <w:t xml:space="preserve"> v6 </w:t>
      </w:r>
      <w:r>
        <w:rPr>
          <w:rFonts w:asciiTheme="majorBidi" w:hAnsiTheme="majorBidi" w:cstheme="majorBidi"/>
          <w:color w:val="000000" w:themeColor="text1"/>
          <w:sz w:val="24"/>
          <w:szCs w:val="24"/>
        </w:rPr>
        <w:fldChar w:fldCharType="begin"/>
      </w:r>
      <w:r>
        <w:rPr>
          <w:rFonts w:asciiTheme="majorBidi" w:hAnsiTheme="majorBidi" w:cstheme="majorBidi"/>
          <w:color w:val="000000" w:themeColor="text1"/>
          <w:sz w:val="24"/>
          <w:szCs w:val="24"/>
        </w:rPr>
        <w:instrText xml:space="preserve"> ADDIN EN.CITE &lt;EndNote&gt;&lt;Cite&gt;&lt;Author&gt;Letunic&lt;/Author&gt;&lt;Year&gt;2021&lt;/Year&gt;&lt;RecNum&gt;825&lt;/RecNum&gt;&lt;DisplayText&gt;(Letunic &amp;amp; Bork, 2021)&lt;/DisplayText&gt;&lt;record&gt;&lt;rec-number&gt;825&lt;/rec-number&gt;&lt;foreign-keys&gt;&lt;key app="EN" db-id="er0t2v0s3pzdpeevveipxs2rrtax25a2exz0" timestamp="1673356818"&gt;825&lt;/key&gt;&lt;/foreign-keys&gt;&lt;ref-type name="Journal Article"&gt;17&lt;/ref-type&gt;&lt;contributors&gt;&lt;authors&gt;&lt;author&gt;Letunic, I.&lt;/author&gt;&lt;author&gt;Bork, P.&lt;/author&gt;&lt;/authors&gt;&lt;/contributors&gt;&lt;auth-address&gt;Biobyte Solutions GmbH, Bothestr 142, 69126 Heidelberg, Germany.&amp;#xD;EMBL, Meyerhofstrasse 1, 69117 Heidelberg, Germany.&amp;#xD;Department of Bioinformatics, Biocenter, University of Würzburg, 97074 Würzburg, Germany.&amp;#xD;Yonsei Frontier Lab (YFL), Yonsei University, Seoul 03722, South Korea.&lt;/auth-address&gt;&lt;titles&gt;&lt;title&gt;Interactive Tree Of Life (iTOL) v5: an online tool for phylogenetic tree display and annotation&lt;/title&gt;&lt;secondary-title&gt;Nucleic Acids Res&lt;/secondary-title&gt;&lt;/titles&gt;&lt;periodical&gt;&lt;full-title&gt;Nucleic Acids Res&lt;/full-title&gt;&lt;abbr-1&gt;Nucleic acids research&lt;/abbr-1&gt;&lt;/periodical&gt;&lt;pages&gt;W293-w296&lt;/pages&gt;&lt;volume&gt;49&lt;/volume&gt;&lt;number&gt;W1&lt;/number&gt;&lt;keywords&gt;&lt;keyword&gt;Algorithms&lt;/keyword&gt;&lt;keyword&gt;*Phylogeny&lt;/keyword&gt;&lt;keyword&gt;*Software&lt;/keyword&gt;&lt;/keywords&gt;&lt;dates&gt;&lt;year&gt;2021&lt;/year&gt;&lt;pub-dates&gt;&lt;date&gt;Jul 2&lt;/date&gt;&lt;/pub-dates&gt;&lt;/dates&gt;&lt;isbn&gt;0305-1048 (Print)&amp;#xD;0305-1048&lt;/isbn&gt;&lt;accession-num&gt;33885785&lt;/accession-num&gt;&lt;urls&gt;&lt;/urls&gt;&lt;custom2&gt;PMC8265157&lt;/custom2&gt;&lt;electronic-resource-num&gt;10.1093/nar/gkab301&lt;/electronic-resource-num&gt;&lt;remote-database-provider&gt;NLM&lt;/remote-database-provider&gt;&lt;language&gt;eng&lt;/language&gt;&lt;/record&gt;&lt;/Cite&gt;&lt;/EndNote&gt;</w:instrText>
      </w:r>
      <w:r>
        <w:rPr>
          <w:rFonts w:asciiTheme="majorBidi" w:hAnsiTheme="majorBidi" w:cstheme="majorBidi"/>
          <w:color w:val="000000" w:themeColor="text1"/>
          <w:sz w:val="24"/>
          <w:szCs w:val="24"/>
        </w:rPr>
        <w:fldChar w:fldCharType="separate"/>
      </w:r>
      <w:r>
        <w:rPr>
          <w:rFonts w:asciiTheme="majorBidi" w:hAnsiTheme="majorBidi" w:cstheme="majorBidi"/>
          <w:noProof/>
          <w:color w:val="000000" w:themeColor="text1"/>
          <w:sz w:val="24"/>
          <w:szCs w:val="24"/>
        </w:rPr>
        <w:t>(Letunic &amp; Bork, 2021)</w:t>
      </w:r>
      <w:r>
        <w:rPr>
          <w:rFonts w:asciiTheme="majorBidi" w:hAnsiTheme="majorBidi" w:cstheme="majorBidi"/>
          <w:color w:val="000000" w:themeColor="text1"/>
          <w:sz w:val="24"/>
          <w:szCs w:val="24"/>
        </w:rPr>
        <w:fldChar w:fldCharType="end"/>
      </w:r>
      <w:r>
        <w:rPr>
          <w:rFonts w:asciiTheme="majorBidi" w:hAnsiTheme="majorBidi" w:cstheme="majorBidi"/>
          <w:color w:val="000000" w:themeColor="text1"/>
          <w:sz w:val="24"/>
          <w:szCs w:val="24"/>
        </w:rPr>
        <w:t xml:space="preserve"> and Adobe Illustrator. The clinical isolates are colored according to the ST they belong to. Scale bar, average number of amino acid substitutions per position.</w:t>
      </w:r>
    </w:p>
    <w:p w14:paraId="56C85FCE" w14:textId="77777777" w:rsidR="00582F5E" w:rsidRPr="00305934" w:rsidRDefault="00582F5E" w:rsidP="00582F5E">
      <w:pPr>
        <w:spacing w:after="0" w:line="360" w:lineRule="auto"/>
        <w:rPr>
          <w:rFonts w:ascii="Times New Roman" w:hAnsi="Times New Roman" w:cs="Times New Roman"/>
          <w:b/>
          <w:bCs/>
          <w:lang w:val="en-GB"/>
        </w:rPr>
      </w:pPr>
    </w:p>
    <w:p w14:paraId="60103CA6" w14:textId="77777777" w:rsidR="00582F5E" w:rsidRDefault="00582F5E" w:rsidP="00582F5E">
      <w:pPr>
        <w:sectPr w:rsidR="00582F5E" w:rsidSect="00CE6E7B">
          <w:pgSz w:w="12240" w:h="15840"/>
          <w:pgMar w:top="1440" w:right="1440" w:bottom="1440" w:left="1440" w:header="720" w:footer="720" w:gutter="0"/>
          <w:cols w:space="720"/>
          <w:docGrid w:linePitch="360"/>
        </w:sectPr>
      </w:pPr>
    </w:p>
    <w:p w14:paraId="69F38BD6" w14:textId="77777777" w:rsidR="00582F5E" w:rsidRDefault="00582F5E" w:rsidP="00582F5E"/>
    <w:p w14:paraId="3F488149" w14:textId="77777777" w:rsidR="00582F5E" w:rsidRDefault="00582F5E" w:rsidP="00582F5E">
      <w:r>
        <w:rPr>
          <w:noProof/>
        </w:rPr>
        <w:drawing>
          <wp:inline distT="0" distB="0" distL="0" distR="0" wp14:anchorId="2D1AA605" wp14:editId="725FC6C2">
            <wp:extent cx="7200000" cy="4813905"/>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0" cy="4813905"/>
                    </a:xfrm>
                    <a:prstGeom prst="rect">
                      <a:avLst/>
                    </a:prstGeom>
                    <a:noFill/>
                    <a:ln>
                      <a:noFill/>
                    </a:ln>
                  </pic:spPr>
                </pic:pic>
              </a:graphicData>
            </a:graphic>
          </wp:inline>
        </w:drawing>
      </w:r>
    </w:p>
    <w:p w14:paraId="5B94A09D" w14:textId="77777777" w:rsidR="00582F5E" w:rsidRPr="004D26AE" w:rsidRDefault="00582F5E" w:rsidP="00582F5E">
      <w:pPr>
        <w:spacing w:after="0" w:line="360" w:lineRule="auto"/>
        <w:rPr>
          <w:rFonts w:ascii="Times New Roman" w:hAnsi="Times New Roman" w:cs="Times New Roman"/>
          <w:sz w:val="24"/>
          <w:szCs w:val="24"/>
        </w:rPr>
      </w:pPr>
      <w:r w:rsidRPr="004D26AE">
        <w:rPr>
          <w:rFonts w:ascii="Times New Roman" w:hAnsi="Times New Roman" w:cs="Times New Roman"/>
          <w:b/>
          <w:bCs/>
          <w:sz w:val="24"/>
          <w:szCs w:val="24"/>
        </w:rPr>
        <w:t>Supplementary Figure (</w:t>
      </w:r>
      <w:r>
        <w:rPr>
          <w:rFonts w:ascii="Times New Roman" w:hAnsi="Times New Roman" w:cs="Times New Roman"/>
          <w:b/>
          <w:bCs/>
          <w:sz w:val="24"/>
          <w:szCs w:val="24"/>
        </w:rPr>
        <w:t>2</w:t>
      </w:r>
      <w:r w:rsidRPr="004D26AE">
        <w:rPr>
          <w:rFonts w:ascii="Times New Roman" w:hAnsi="Times New Roman" w:cs="Times New Roman"/>
          <w:b/>
          <w:bCs/>
          <w:sz w:val="24"/>
          <w:szCs w:val="24"/>
        </w:rPr>
        <w:t>):</w:t>
      </w:r>
      <w:r w:rsidRPr="004D26AE">
        <w:rPr>
          <w:rFonts w:ascii="Times New Roman" w:hAnsi="Times New Roman" w:cs="Times New Roman"/>
          <w:sz w:val="24"/>
          <w:szCs w:val="24"/>
        </w:rPr>
        <w:t xml:space="preserve"> Distance </w:t>
      </w:r>
      <w:r>
        <w:rPr>
          <w:rFonts w:ascii="Times New Roman" w:hAnsi="Times New Roman" w:cs="Times New Roman"/>
          <w:sz w:val="24"/>
          <w:szCs w:val="24"/>
        </w:rPr>
        <w:t xml:space="preserve">(neighbor-joining) </w:t>
      </w:r>
      <w:r w:rsidRPr="004D26AE">
        <w:rPr>
          <w:rFonts w:ascii="Times New Roman" w:hAnsi="Times New Roman" w:cs="Times New Roman"/>
          <w:sz w:val="24"/>
          <w:szCs w:val="24"/>
        </w:rPr>
        <w:t>tree generated by NCBI from BLASTN analysis of the sequence of p9Me2 with its closest relatives.</w:t>
      </w:r>
      <w:r>
        <w:rPr>
          <w:rFonts w:ascii="Times New Roman" w:hAnsi="Times New Roman" w:cs="Times New Roman"/>
          <w:sz w:val="24"/>
          <w:szCs w:val="24"/>
        </w:rPr>
        <w:t xml:space="preserve"> The tree was rooted at the midpoint.</w:t>
      </w:r>
    </w:p>
    <w:p w14:paraId="6FE291BB" w14:textId="77777777" w:rsidR="00582F5E" w:rsidRPr="00C80C8D" w:rsidRDefault="00582F5E" w:rsidP="00582F5E">
      <w:pPr>
        <w:rPr>
          <w:i/>
          <w:iCs/>
        </w:rPr>
      </w:pPr>
      <w:r>
        <w:rPr>
          <w:i/>
          <w:iCs/>
          <w:noProof/>
        </w:rPr>
        <w:lastRenderedPageBreak/>
        <w:drawing>
          <wp:inline distT="0" distB="0" distL="0" distR="0" wp14:anchorId="5F59027A" wp14:editId="74C0E1DA">
            <wp:extent cx="8460000" cy="1945799"/>
            <wp:effectExtent l="0" t="0" r="0" b="0"/>
            <wp:docPr id="12" name="Picture 12" descr="Graphical user interfac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imeli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60000" cy="1945799"/>
                    </a:xfrm>
                    <a:prstGeom prst="rect">
                      <a:avLst/>
                    </a:prstGeom>
                    <a:noFill/>
                    <a:ln>
                      <a:noFill/>
                    </a:ln>
                  </pic:spPr>
                </pic:pic>
              </a:graphicData>
            </a:graphic>
          </wp:inline>
        </w:drawing>
      </w:r>
    </w:p>
    <w:p w14:paraId="61FDA5F2" w14:textId="77777777" w:rsidR="00582F5E" w:rsidRPr="00C80C8D" w:rsidRDefault="00582F5E" w:rsidP="00582F5E">
      <w:pPr>
        <w:spacing w:before="120" w:after="0" w:line="360" w:lineRule="auto"/>
        <w:rPr>
          <w:rFonts w:ascii="Times New Roman" w:hAnsi="Times New Roman" w:cs="Times New Roman"/>
          <w:sz w:val="24"/>
          <w:szCs w:val="24"/>
        </w:rPr>
      </w:pPr>
      <w:r w:rsidRPr="00C80C8D">
        <w:rPr>
          <w:rFonts w:ascii="Times New Roman" w:hAnsi="Times New Roman" w:cs="Times New Roman"/>
          <w:b/>
          <w:bCs/>
          <w:sz w:val="24"/>
          <w:szCs w:val="24"/>
        </w:rPr>
        <w:t>Supplementary Figure (</w:t>
      </w:r>
      <w:r>
        <w:rPr>
          <w:rFonts w:ascii="Times New Roman" w:hAnsi="Times New Roman" w:cs="Times New Roman"/>
          <w:b/>
          <w:bCs/>
          <w:sz w:val="24"/>
          <w:szCs w:val="24"/>
        </w:rPr>
        <w:t>3</w:t>
      </w:r>
      <w:r w:rsidRPr="00C80C8D">
        <w:rPr>
          <w:rFonts w:ascii="Times New Roman" w:hAnsi="Times New Roman" w:cs="Times New Roman"/>
          <w:b/>
          <w:bCs/>
          <w:sz w:val="24"/>
          <w:szCs w:val="24"/>
        </w:rPr>
        <w:t>):</w:t>
      </w:r>
      <w:r w:rsidRPr="00C80C8D">
        <w:rPr>
          <w:rFonts w:ascii="Times New Roman" w:hAnsi="Times New Roman" w:cs="Times New Roman"/>
          <w:sz w:val="24"/>
          <w:szCs w:val="24"/>
        </w:rPr>
        <w:t xml:space="preserve"> </w:t>
      </w:r>
      <w:proofErr w:type="spellStart"/>
      <w:r w:rsidRPr="00C80C8D">
        <w:rPr>
          <w:rFonts w:ascii="Times New Roman" w:hAnsi="Times New Roman" w:cs="Times New Roman"/>
          <w:sz w:val="24"/>
          <w:szCs w:val="24"/>
        </w:rPr>
        <w:t>progressiveMauve</w:t>
      </w:r>
      <w:proofErr w:type="spellEnd"/>
      <w:r w:rsidRPr="00C80C8D">
        <w:rPr>
          <w:rFonts w:ascii="Times New Roman" w:hAnsi="Times New Roman" w:cs="Times New Roman"/>
          <w:sz w:val="24"/>
          <w:szCs w:val="24"/>
        </w:rPr>
        <w:t xml:space="preserve"> alignment of the sequences of plasmids pP9Me2 and pF09202-1, created using </w:t>
      </w:r>
      <w:proofErr w:type="spellStart"/>
      <w:r w:rsidRPr="00C80C8D">
        <w:rPr>
          <w:rFonts w:ascii="Times New Roman" w:hAnsi="Times New Roman" w:cs="Times New Roman"/>
          <w:sz w:val="24"/>
          <w:szCs w:val="24"/>
        </w:rPr>
        <w:t>Geneious</w:t>
      </w:r>
      <w:proofErr w:type="spellEnd"/>
      <w:r w:rsidRPr="00C80C8D">
        <w:rPr>
          <w:rFonts w:ascii="Times New Roman" w:hAnsi="Times New Roman" w:cs="Times New Roman"/>
          <w:sz w:val="24"/>
          <w:szCs w:val="24"/>
        </w:rPr>
        <w:t xml:space="preserve"> Prime</w:t>
      </w:r>
      <w:r>
        <w:rPr>
          <w:rFonts w:ascii="Times New Roman" w:hAnsi="Times New Roman" w:cs="Times New Roman"/>
          <w:sz w:val="24"/>
          <w:szCs w:val="24"/>
        </w:rPr>
        <w:t xml:space="preserve"> v2023.0.1</w:t>
      </w:r>
      <w:r w:rsidRPr="00C80C8D">
        <w:rPr>
          <w:rFonts w:ascii="Times New Roman" w:hAnsi="Times New Roman" w:cs="Times New Roman"/>
          <w:sz w:val="24"/>
          <w:szCs w:val="24"/>
        </w:rPr>
        <w:t>.</w:t>
      </w:r>
    </w:p>
    <w:p w14:paraId="5AD42E39" w14:textId="77777777" w:rsidR="00582F5E" w:rsidRDefault="00582F5E" w:rsidP="00582F5E">
      <w:pPr>
        <w:rPr>
          <w:i/>
          <w:iCs/>
        </w:rPr>
      </w:pPr>
      <w:r>
        <w:rPr>
          <w:i/>
          <w:iCs/>
        </w:rPr>
        <w:br w:type="page"/>
      </w:r>
    </w:p>
    <w:p w14:paraId="18FE1D79" w14:textId="77777777" w:rsidR="00582F5E" w:rsidRPr="009F3B29" w:rsidRDefault="00582F5E" w:rsidP="00582F5E">
      <w:r>
        <w:rPr>
          <w:noProof/>
        </w:rPr>
        <w:lastRenderedPageBreak/>
        <w:drawing>
          <wp:inline distT="0" distB="0" distL="0" distR="0" wp14:anchorId="26A558BD" wp14:editId="304A1DE8">
            <wp:extent cx="7200000" cy="5041667"/>
            <wp:effectExtent l="0" t="0" r="0" b="0"/>
            <wp:docPr id="8"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0" cy="5041667"/>
                    </a:xfrm>
                    <a:prstGeom prst="rect">
                      <a:avLst/>
                    </a:prstGeom>
                    <a:noFill/>
                    <a:ln>
                      <a:noFill/>
                    </a:ln>
                  </pic:spPr>
                </pic:pic>
              </a:graphicData>
            </a:graphic>
          </wp:inline>
        </w:drawing>
      </w:r>
    </w:p>
    <w:p w14:paraId="1C972274" w14:textId="4F86D991" w:rsidR="009A1F09" w:rsidRPr="001C17D4" w:rsidRDefault="00582F5E" w:rsidP="001C17D4">
      <w:pPr>
        <w:spacing w:after="0" w:line="360" w:lineRule="auto"/>
        <w:rPr>
          <w:rFonts w:ascii="Times New Roman" w:hAnsi="Times New Roman" w:cs="Times New Roman"/>
          <w:sz w:val="24"/>
          <w:szCs w:val="24"/>
        </w:rPr>
      </w:pPr>
      <w:r w:rsidRPr="009F3B29">
        <w:rPr>
          <w:rFonts w:ascii="Times New Roman" w:hAnsi="Times New Roman" w:cs="Times New Roman"/>
          <w:b/>
          <w:bCs/>
          <w:sz w:val="24"/>
          <w:szCs w:val="24"/>
        </w:rPr>
        <w:t>Supplementary Figure (</w:t>
      </w:r>
      <w:r>
        <w:rPr>
          <w:rFonts w:ascii="Times New Roman" w:hAnsi="Times New Roman" w:cs="Times New Roman"/>
          <w:b/>
          <w:bCs/>
          <w:sz w:val="24"/>
          <w:szCs w:val="24"/>
        </w:rPr>
        <w:t>4</w:t>
      </w:r>
      <w:r w:rsidRPr="009F3B29">
        <w:rPr>
          <w:rFonts w:ascii="Times New Roman" w:hAnsi="Times New Roman" w:cs="Times New Roman"/>
          <w:b/>
          <w:bCs/>
          <w:sz w:val="24"/>
          <w:szCs w:val="24"/>
        </w:rPr>
        <w:t xml:space="preserve">): </w:t>
      </w:r>
      <w:r w:rsidRPr="009F3B29">
        <w:rPr>
          <w:rFonts w:ascii="Times New Roman" w:hAnsi="Times New Roman" w:cs="Times New Roman"/>
          <w:sz w:val="24"/>
          <w:szCs w:val="24"/>
        </w:rPr>
        <w:t xml:space="preserve">Visualization of all-against-all </w:t>
      </w:r>
      <w:proofErr w:type="spellStart"/>
      <w:r w:rsidRPr="009F3B29">
        <w:rPr>
          <w:rFonts w:ascii="Times New Roman" w:hAnsi="Times New Roman" w:cs="Times New Roman"/>
          <w:sz w:val="24"/>
          <w:szCs w:val="24"/>
        </w:rPr>
        <w:t>FastANI</w:t>
      </w:r>
      <w:proofErr w:type="spellEnd"/>
      <w:r w:rsidRPr="009F3B29">
        <w:rPr>
          <w:rFonts w:ascii="Times New Roman" w:hAnsi="Times New Roman" w:cs="Times New Roman"/>
          <w:sz w:val="24"/>
          <w:szCs w:val="24"/>
        </w:rPr>
        <w:t xml:space="preserve"> analysis of the complete sequences of 40 pBT2436-like </w:t>
      </w:r>
      <w:proofErr w:type="spellStart"/>
      <w:r w:rsidRPr="009F3B29">
        <w:rPr>
          <w:rFonts w:ascii="Times New Roman" w:hAnsi="Times New Roman" w:cs="Times New Roman"/>
          <w:sz w:val="24"/>
          <w:szCs w:val="24"/>
        </w:rPr>
        <w:t>megaplasmids</w:t>
      </w:r>
      <w:proofErr w:type="spellEnd"/>
      <w:r w:rsidRPr="009F3B29">
        <w:rPr>
          <w:rFonts w:ascii="Times New Roman" w:hAnsi="Times New Roman" w:cs="Times New Roman"/>
          <w:sz w:val="24"/>
          <w:szCs w:val="24"/>
        </w:rPr>
        <w:t>.</w:t>
      </w:r>
      <w:r>
        <w:rPr>
          <w:rFonts w:ascii="Times New Roman" w:hAnsi="Times New Roman" w:cs="Times New Roman"/>
          <w:b/>
          <w:bCs/>
          <w:sz w:val="24"/>
          <w:szCs w:val="24"/>
        </w:rPr>
        <w:t xml:space="preserve"> </w:t>
      </w:r>
      <w:r w:rsidRPr="00E672D0">
        <w:rPr>
          <w:rFonts w:ascii="Times New Roman" w:hAnsi="Times New Roman" w:cs="Times New Roman"/>
          <w:sz w:val="24"/>
          <w:szCs w:val="24"/>
        </w:rPr>
        <w:t xml:space="preserve">Full details for the plasmids included in this analysis can be found in </w:t>
      </w:r>
      <w:r w:rsidRPr="00E672D0">
        <w:rPr>
          <w:rFonts w:ascii="Times New Roman" w:hAnsi="Times New Roman" w:cs="Times New Roman"/>
          <w:b/>
          <w:bCs/>
          <w:sz w:val="24"/>
          <w:szCs w:val="24"/>
        </w:rPr>
        <w:t>Table (2)</w:t>
      </w:r>
      <w:r w:rsidRPr="00E672D0">
        <w:rPr>
          <w:rFonts w:ascii="Times New Roman" w:hAnsi="Times New Roman" w:cs="Times New Roman"/>
          <w:sz w:val="24"/>
          <w:szCs w:val="24"/>
        </w:rPr>
        <w:t xml:space="preserve"> and </w:t>
      </w:r>
      <w:r w:rsidRPr="00E672D0">
        <w:rPr>
          <w:rFonts w:ascii="Times New Roman" w:hAnsi="Times New Roman" w:cs="Times New Roman"/>
          <w:b/>
          <w:bCs/>
          <w:sz w:val="24"/>
          <w:szCs w:val="24"/>
        </w:rPr>
        <w:t>Table (7)</w:t>
      </w:r>
      <w:r w:rsidRPr="00E672D0">
        <w:rPr>
          <w:rFonts w:ascii="Times New Roman" w:hAnsi="Times New Roman" w:cs="Times New Roman"/>
          <w:sz w:val="24"/>
          <w:szCs w:val="24"/>
        </w:rPr>
        <w:t>.</w:t>
      </w:r>
    </w:p>
    <w:sectPr w:rsidR="009A1F09" w:rsidRPr="001C17D4" w:rsidSect="001C17D4">
      <w:pgSz w:w="16840" w:h="1190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F5E"/>
    <w:rsid w:val="001C17D4"/>
    <w:rsid w:val="00582F5E"/>
    <w:rsid w:val="005F0F98"/>
    <w:rsid w:val="007116A6"/>
    <w:rsid w:val="00941BAC"/>
    <w:rsid w:val="0094480A"/>
    <w:rsid w:val="009A1F09"/>
    <w:rsid w:val="00AB32A3"/>
    <w:rsid w:val="00D100E7"/>
    <w:rsid w:val="00E12ED5"/>
    <w:rsid w:val="00E2146C"/>
    <w:rsid w:val="00F00157"/>
    <w:rsid w:val="00F90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A9AA"/>
  <w15:chartTrackingRefBased/>
  <w15:docId w15:val="{624A4F74-30EA-224C-98C1-072BAFDB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F5E"/>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2F5E"/>
    <w:rPr>
      <w:sz w:val="16"/>
      <w:szCs w:val="16"/>
    </w:rPr>
  </w:style>
  <w:style w:type="paragraph" w:styleId="CommentText">
    <w:name w:val="annotation text"/>
    <w:basedOn w:val="Normal"/>
    <w:link w:val="CommentTextChar"/>
    <w:uiPriority w:val="99"/>
    <w:unhideWhenUsed/>
    <w:rsid w:val="00582F5E"/>
    <w:pPr>
      <w:spacing w:line="240" w:lineRule="auto"/>
    </w:pPr>
    <w:rPr>
      <w:sz w:val="20"/>
      <w:szCs w:val="20"/>
      <w:lang w:val="en-GB"/>
    </w:rPr>
  </w:style>
  <w:style w:type="character" w:customStyle="1" w:styleId="CommentTextChar">
    <w:name w:val="Comment Text Char"/>
    <w:basedOn w:val="DefaultParagraphFont"/>
    <w:link w:val="CommentText"/>
    <w:uiPriority w:val="99"/>
    <w:rsid w:val="00582F5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410</Words>
  <Characters>2341</Characters>
  <Application>Microsoft Office Word</Application>
  <DocSecurity>0</DocSecurity>
  <Lines>19</Lines>
  <Paragraphs>5</Paragraphs>
  <ScaleCrop>false</ScaleCrop>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Hoyles, Lesley</dc:creator>
  <cp:keywords/>
  <dc:description/>
  <cp:lastModifiedBy>Hoyles, Lesley</cp:lastModifiedBy>
  <cp:revision>3</cp:revision>
  <dcterms:created xsi:type="dcterms:W3CDTF">2023-02-20T14:18:00Z</dcterms:created>
  <dcterms:modified xsi:type="dcterms:W3CDTF">2023-02-20T14:28:00Z</dcterms:modified>
</cp:coreProperties>
</file>