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79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1684"/>
        <w:gridCol w:w="9884"/>
        <w:gridCol w:w="2630"/>
      </w:tblGrid>
      <w:tr w:rsidR="00643594" w14:paraId="0A7AF331" w14:textId="77777777" w:rsidTr="00643594">
        <w:trPr>
          <w:trHeight w:val="605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4D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20EB1" w14:textId="77777777" w:rsidR="00643594" w:rsidRDefault="00643594">
            <w:pP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Protocol Version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A55EC" w14:textId="77777777" w:rsidR="00643594" w:rsidRDefault="00643594">
            <w:pP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Implementation date</w:t>
            </w:r>
          </w:p>
        </w:tc>
        <w:tc>
          <w:tcPr>
            <w:tcW w:w="9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0C5B" w14:textId="77777777" w:rsidR="00643594" w:rsidRDefault="00643594">
            <w:pP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Changes</w:t>
            </w:r>
          </w:p>
        </w:tc>
        <w:tc>
          <w:tcPr>
            <w:tcW w:w="2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E4D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A0627" w14:textId="77777777" w:rsidR="00643594" w:rsidRDefault="00643594">
            <w:pP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Comment</w:t>
            </w:r>
          </w:p>
        </w:tc>
      </w:tr>
      <w:tr w:rsidR="00643594" w14:paraId="7DDE8E45" w14:textId="77777777" w:rsidTr="00643594">
        <w:trPr>
          <w:trHeight w:val="288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05D5E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V1.0 12Dec2022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AAC53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9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1C96F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9ACFE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Submitted with the initial application to REC and MHRA but never approved</w:t>
            </w:r>
          </w:p>
        </w:tc>
      </w:tr>
      <w:tr w:rsidR="00643594" w14:paraId="75173308" w14:textId="77777777" w:rsidTr="00643594">
        <w:trPr>
          <w:trHeight w:val="288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4F2F6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V2.0 27Feb2023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9B7FB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9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189C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Section 6.1.4 amended to clarify where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IMP  labelling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and QP release will take place</w:t>
            </w:r>
          </w:p>
          <w:p w14:paraId="1C02C705" w14:textId="7273AADB" w:rsidR="00643594" w:rsidRPr="00643594" w:rsidRDefault="00643594" w:rsidP="00643594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Definition of sexual abstinence added to section 4.2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9D1ED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Submitted in response to request for further information; first version approved by REC and MHRA</w:t>
            </w:r>
          </w:p>
        </w:tc>
      </w:tr>
      <w:tr w:rsidR="00643594" w14:paraId="585D304E" w14:textId="77777777" w:rsidTr="00643594">
        <w:trPr>
          <w:trHeight w:val="288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DB41E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V3.0 11May2023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3A044" w14:textId="15E7424E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01Sep2023</w:t>
            </w:r>
          </w:p>
        </w:tc>
        <w:tc>
          <w:tcPr>
            <w:tcW w:w="9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8217A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Table 4 Blood tests - measurement of cytokeratin-18 from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fingerprick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 capillary sample removed as cytokeratin-18 will be measured in research blood panel </w:t>
            </w:r>
          </w:p>
          <w:p w14:paraId="195917D2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 7.2 Study assessments - minor clarifications/corrections (concomitant medication check included at baseline, clinical exam includes neurological system, maximum/minimum of any routine clinical vital sign measurements recorded at follow-ups 1 and 2)</w:t>
            </w:r>
          </w:p>
          <w:p w14:paraId="09F3863E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Section 7.5 Blood sample analysis - 2.7mL fluoride ECTA tube added for measurement of lactate (previously omitted by mistake) and samples collected for HLA typing and antibody testing clarified </w:t>
            </w:r>
          </w:p>
          <w:p w14:paraId="5E71BFC7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Section 11 Pharmacovigilance - minor additions to make it clear it is a first in human trial </w:t>
            </w:r>
          </w:p>
          <w:p w14:paraId="4CD72B88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REC and ISRCTN reference numbers added</w:t>
            </w:r>
          </w:p>
          <w:p w14:paraId="75ADCC02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Typographical errors corrected throughout</w:t>
            </w:r>
          </w:p>
          <w:p w14:paraId="27784D22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Minor clarifications to various sections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3D41D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Submitted as part of non-substantial amendment 11May2023. First version implemented when site opened</w:t>
            </w:r>
          </w:p>
        </w:tc>
      </w:tr>
      <w:tr w:rsidR="00643594" w14:paraId="3D303301" w14:textId="77777777" w:rsidTr="00643594">
        <w:trPr>
          <w:cantSplit/>
          <w:trHeight w:val="288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2FD07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V4.0 22Jan2024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19D1C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9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4EB0E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Inclusion criterion 1 (section 4.2) was amended to clarify the timing of serum ALT activity &gt;1000U/L. Section 5.4 was updated to include further clarification on this.</w:t>
            </w:r>
          </w:p>
          <w:p w14:paraId="286A2E30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Exclusion criterion 3 (section 4.3) was amended to clarify that current infections are excluded only.</w:t>
            </w:r>
          </w:p>
          <w:p w14:paraId="0C7AA076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Exclusion criterion 7 (section 4.3) was amended to exclude patients that previously received any organ transplant.</w:t>
            </w:r>
          </w:p>
          <w:p w14:paraId="576A8B1C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 5.1 was updated to clarify how potentially eligible patients are being identified.</w:t>
            </w:r>
          </w:p>
          <w:p w14:paraId="2D678C83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 5.6.3 was updated to clarify what activities are being completed by the blinded EMERGE team. The previously used term 'recruiting team' was updated throughout to avoid confusion.</w:t>
            </w:r>
          </w:p>
          <w:p w14:paraId="7886412C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 6.1.1 was amended to clarify how HLA testing at baseline is used to guide product selection. A footnote was added to Table 4 in section 7.2 for the same purpose.</w:t>
            </w:r>
          </w:p>
          <w:p w14:paraId="517F2F0B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Sections 6.3.2 and 6.7.1 were updated to provide a more specific time window for the administration of pre-medication.</w:t>
            </w:r>
          </w:p>
          <w:p w14:paraId="173C8ECB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 7 was updated to differentiate more clearly between screening and baseline activities. Figure 1 in section 3 was updated in accordance with this.</w:t>
            </w:r>
          </w:p>
          <w:p w14:paraId="093EB467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Section 7.2 was amended to clarify that up to five prior blood serum samples will be requested from the laboratory (rather than all available samples).</w:t>
            </w:r>
          </w:p>
          <w:p w14:paraId="459B7ECD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CTCAE grade 5 was added to the definition of Dose Limiting Toxicity throughout (previously omitted in error).</w:t>
            </w:r>
          </w:p>
          <w:p w14:paraId="795C5ED4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Reference to specific training in assessing capacity was removed from section 5.2 (previously included in error).</w:t>
            </w:r>
          </w:p>
          <w:p w14:paraId="67AEDB7B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In section 7.2, day 7 was included in the statement regarding follow-up data collection and deviations (previously omitted in error).</w:t>
            </w:r>
          </w:p>
          <w:p w14:paraId="3A26F040" w14:textId="77777777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Reference to MedDRA coding of Adverse Events was removed from section 11.5 (previously included in error).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B96AE" w14:textId="3A1B20FB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Submitted as part of non-substantial amendment 25Jan2024 but never implemented</w:t>
            </w:r>
            <w:r w:rsidR="00DC0CAB">
              <w:rPr>
                <w:color w:val="000000"/>
                <w:sz w:val="20"/>
                <w:szCs w:val="20"/>
                <w:lang w:eastAsia="en-GB"/>
                <w14:ligatures w14:val="none"/>
              </w:rPr>
              <w:t xml:space="preserve"> as superseded by protocol v5.0.</w:t>
            </w:r>
          </w:p>
        </w:tc>
      </w:tr>
      <w:tr w:rsidR="00643594" w14:paraId="0B5B4C46" w14:textId="77777777" w:rsidTr="00643594">
        <w:trPr>
          <w:cantSplit/>
          <w:trHeight w:val="288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18421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lastRenderedPageBreak/>
              <w:t>V5.0 07Mar2024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6E3DF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13Mar2024</w:t>
            </w:r>
          </w:p>
        </w:tc>
        <w:tc>
          <w:tcPr>
            <w:tcW w:w="9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85003" w14:textId="79481A58" w:rsidR="00DC0CAB" w:rsidRDefault="0027507A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The changes to protocol version 4.0 (listed above) were incorporated into V5.0</w:t>
            </w:r>
          </w:p>
          <w:p w14:paraId="13F09B7C" w14:textId="3DCD18AC" w:rsidR="00643594" w:rsidRDefault="00643594" w:rsidP="00286C3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Minor correction in Table 4, clarifying that the serology blood tests performed for Hepatitis B include a total 'core antibody' test rather than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>a  '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core IgM' test.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9A3BD" w14:textId="77777777" w:rsidR="00643594" w:rsidRDefault="00643594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Current version</w:t>
            </w:r>
          </w:p>
        </w:tc>
      </w:tr>
    </w:tbl>
    <w:p w14:paraId="213D2289" w14:textId="77777777" w:rsidR="001E315F" w:rsidRPr="001E315F" w:rsidRDefault="001E315F" w:rsidP="001E315F"/>
    <w:sectPr w:rsidR="001E315F" w:rsidRPr="001E315F" w:rsidSect="0064359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7F48"/>
    <w:multiLevelType w:val="hybridMultilevel"/>
    <w:tmpl w:val="86BECD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0609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5F"/>
    <w:rsid w:val="0000212C"/>
    <w:rsid w:val="001E315F"/>
    <w:rsid w:val="0027507A"/>
    <w:rsid w:val="00276F08"/>
    <w:rsid w:val="004E779C"/>
    <w:rsid w:val="00643594"/>
    <w:rsid w:val="00955643"/>
    <w:rsid w:val="00DC0CAB"/>
    <w:rsid w:val="00F2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0A5B"/>
  <w15:chartTrackingRefBased/>
  <w15:docId w15:val="{8BFDB109-1F94-4B5E-B9CB-E9062C68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94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1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43594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C0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0C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0CAB"/>
    <w:rPr>
      <w:rFonts w:ascii="Calibri" w:hAnsi="Calibri" w:cs="Calibri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CAB"/>
    <w:rPr>
      <w:rFonts w:ascii="Calibri" w:hAnsi="Calibri" w:cs="Calibri"/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276F08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Humphries</dc:creator>
  <cp:keywords/>
  <dc:description/>
  <cp:lastModifiedBy>Chris Humphries</cp:lastModifiedBy>
  <cp:revision>4</cp:revision>
  <dcterms:created xsi:type="dcterms:W3CDTF">2024-04-08T11:52:00Z</dcterms:created>
  <dcterms:modified xsi:type="dcterms:W3CDTF">2024-04-12T11:42:00Z</dcterms:modified>
</cp:coreProperties>
</file>