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6AB" w:rsidRDefault="000056AB" w:rsidP="000056AB">
      <w:pPr>
        <w:pStyle w:val="Heading1"/>
      </w:pPr>
      <w:proofErr w:type="gramStart"/>
      <w:r>
        <w:t>Fig.</w:t>
      </w:r>
      <w:proofErr w:type="gramEnd"/>
      <w:r>
        <w:t xml:space="preserve"> S2</w:t>
      </w:r>
    </w:p>
    <w:p w:rsidR="000056AB" w:rsidRDefault="000056AB" w:rsidP="000056AB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noProof/>
          <w:lang w:val="en-AU" w:eastAsia="en-AU" w:bidi="he-IL"/>
        </w:rPr>
        <w:drawing>
          <wp:inline distT="0" distB="0" distL="0" distR="0" wp14:anchorId="434FD3C4" wp14:editId="687BEF07">
            <wp:extent cx="7802880" cy="4579620"/>
            <wp:effectExtent l="0" t="0" r="762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146AB5" w:rsidRDefault="00146AB5" w:rsidP="00146AB5">
      <w:pPr>
        <w:spacing w:line="480" w:lineRule="auto"/>
      </w:pPr>
      <w:proofErr w:type="gramStart"/>
      <w:r>
        <w:rPr>
          <w:rFonts w:asciiTheme="majorBidi" w:hAnsiTheme="majorBidi" w:cstheme="majorBidi"/>
          <w:sz w:val="24"/>
          <w:szCs w:val="24"/>
        </w:rPr>
        <w:lastRenderedPageBreak/>
        <w:t>Fig.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S2: Comparison of land area required for the protected area network for each scenario (represented in percentages of Australia’s land area) when planning to minimize land area (dark grey); when planning to minimize agricultural losses (light grey) and when current protected areas are ignored (i.e. not locked in to the solution) (black). </w:t>
      </w:r>
    </w:p>
    <w:p w:rsidR="00B438FD" w:rsidRDefault="00B438FD" w:rsidP="000056AB">
      <w:bookmarkStart w:id="0" w:name="_GoBack"/>
      <w:bookmarkEnd w:id="0"/>
    </w:p>
    <w:sectPr w:rsidR="00B438FD" w:rsidSect="000056A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6AB"/>
    <w:rsid w:val="000056AB"/>
    <w:rsid w:val="00146AB5"/>
    <w:rsid w:val="00B4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6AB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56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56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6AB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6AB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56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56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6AB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qtpolak\Documents\PhD\Treaten%20species%20vs%20georegions\For_tal\Tal_Changes\Marxan%20files\MarxanAnalysis\Analysis%20with%20New%20Pu%20file\Summary%200808201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A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2"/>
          <c:order val="0"/>
          <c:spPr>
            <a:solidFill>
              <a:schemeClr val="tx1"/>
            </a:solidFill>
            <a:ln>
              <a:solidFill>
                <a:schemeClr val="tx1"/>
              </a:solidFill>
            </a:ln>
          </c:spPr>
          <c:invertIfNegative val="0"/>
          <c:val>
            <c:numRef>
              <c:f>Sheet2!$D$2:$D$7</c:f>
              <c:numCache>
                <c:formatCode>General</c:formatCode>
                <c:ptCount val="6"/>
                <c:pt idx="1">
                  <c:v>10.4</c:v>
                </c:pt>
                <c:pt idx="2">
                  <c:v>13.2</c:v>
                </c:pt>
                <c:pt idx="3">
                  <c:v>15.3</c:v>
                </c:pt>
                <c:pt idx="4">
                  <c:v>15.6</c:v>
                </c:pt>
                <c:pt idx="5">
                  <c:v>17.7</c:v>
                </c:pt>
              </c:numCache>
            </c:numRef>
          </c:val>
        </c:ser>
        <c:ser>
          <c:idx val="0"/>
          <c:order val="1"/>
          <c:spPr>
            <a:solidFill>
              <a:schemeClr val="bg1">
                <a:lumMod val="50000"/>
              </a:schemeClr>
            </a:solidFill>
            <a:ln>
              <a:solidFill>
                <a:schemeClr val="tx1"/>
              </a:solidFill>
            </a:ln>
          </c:spPr>
          <c:invertIfNegative val="0"/>
          <c:cat>
            <c:strRef>
              <c:f>Sheet2!$A$2:$A$7</c:f>
              <c:strCache>
                <c:ptCount val="6"/>
                <c:pt idx="0">
                  <c:v>Current situation</c:v>
                </c:pt>
                <c:pt idx="1">
                  <c:v>Achieving 10% bioregion targets</c:v>
                </c:pt>
                <c:pt idx="2">
                  <c:v>Achieving threatened species coverage targets</c:v>
                </c:pt>
                <c:pt idx="3">
                  <c:v>Achieving both sets oftargets simultaneously</c:v>
                </c:pt>
                <c:pt idx="4">
                  <c:v>Achieving threatened species  target then  bioregion targets</c:v>
                </c:pt>
                <c:pt idx="5">
                  <c:v>Achieving bioregion target then  species targets</c:v>
                </c:pt>
              </c:strCache>
            </c:strRef>
          </c:cat>
          <c:val>
            <c:numRef>
              <c:f>Sheet2!$B$2:$B$7</c:f>
              <c:numCache>
                <c:formatCode>General</c:formatCode>
                <c:ptCount val="6"/>
                <c:pt idx="0">
                  <c:v>11.59252075247386</c:v>
                </c:pt>
                <c:pt idx="1">
                  <c:v>15.431822364382869</c:v>
                </c:pt>
                <c:pt idx="2">
                  <c:v>18.73062650244588</c:v>
                </c:pt>
                <c:pt idx="3">
                  <c:v>20.959017509778469</c:v>
                </c:pt>
                <c:pt idx="4">
                  <c:v>21.033257751208641</c:v>
                </c:pt>
                <c:pt idx="5">
                  <c:v>21.92886269768406</c:v>
                </c:pt>
              </c:numCache>
            </c:numRef>
          </c:val>
        </c:ser>
        <c:ser>
          <c:idx val="1"/>
          <c:order val="2"/>
          <c:spPr>
            <a:solidFill>
              <a:schemeClr val="bg1">
                <a:lumMod val="85000"/>
              </a:schemeClr>
            </a:solidFill>
            <a:ln>
              <a:solidFill>
                <a:schemeClr val="tx1"/>
              </a:solidFill>
            </a:ln>
          </c:spPr>
          <c:invertIfNegative val="0"/>
          <c:cat>
            <c:strRef>
              <c:f>Sheet2!$A$2:$A$7</c:f>
              <c:strCache>
                <c:ptCount val="6"/>
                <c:pt idx="0">
                  <c:v>Current situation</c:v>
                </c:pt>
                <c:pt idx="1">
                  <c:v>Achieving 10% bioregion targets</c:v>
                </c:pt>
                <c:pt idx="2">
                  <c:v>Achieving threatened species coverage targets</c:v>
                </c:pt>
                <c:pt idx="3">
                  <c:v>Achieving both sets oftargets simultaneously</c:v>
                </c:pt>
                <c:pt idx="4">
                  <c:v>Achieving threatened species  target then  bioregion targets</c:v>
                </c:pt>
                <c:pt idx="5">
                  <c:v>Achieving bioregion target then  species targets</c:v>
                </c:pt>
              </c:strCache>
            </c:strRef>
          </c:cat>
          <c:val>
            <c:numRef>
              <c:f>Sheet2!$C$2:$C$7</c:f>
              <c:numCache>
                <c:formatCode>General</c:formatCode>
                <c:ptCount val="6"/>
                <c:pt idx="0">
                  <c:v>11.59252075247386</c:v>
                </c:pt>
                <c:pt idx="1">
                  <c:v>15.56935055286211</c:v>
                </c:pt>
                <c:pt idx="2">
                  <c:v>19.06357975524109</c:v>
                </c:pt>
                <c:pt idx="3">
                  <c:v>21.217827173557861</c:v>
                </c:pt>
                <c:pt idx="4">
                  <c:v>21.332678079759191</c:v>
                </c:pt>
                <c:pt idx="5">
                  <c:v>22.31764085000529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8"/>
        <c:overlap val="-12"/>
        <c:axId val="95713152"/>
        <c:axId val="95714688"/>
      </c:barChart>
      <c:catAx>
        <c:axId val="95713152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19050">
            <a:solidFill>
              <a:schemeClr val="tx1"/>
            </a:solidFill>
          </a:ln>
        </c:spPr>
        <c:crossAx val="95714688"/>
        <c:crosses val="autoZero"/>
        <c:auto val="1"/>
        <c:lblAlgn val="ctr"/>
        <c:lblOffset val="100"/>
        <c:noMultiLvlLbl val="0"/>
      </c:catAx>
      <c:valAx>
        <c:axId val="95714688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200" b="0"/>
                </a:pPr>
                <a:r>
                  <a:rPr lang="en-US" sz="1200" b="0"/>
                  <a:t>Percentage of Australia's land area (%)</a:t>
                </a:r>
              </a:p>
            </c:rich>
          </c:tx>
          <c:overlay val="0"/>
        </c:title>
        <c:numFmt formatCode="General" sourceLinked="0"/>
        <c:majorTickMark val="in"/>
        <c:minorTickMark val="none"/>
        <c:tickLblPos val="nextTo"/>
        <c:spPr>
          <a:ln w="22225">
            <a:solidFill>
              <a:schemeClr val="tx1"/>
            </a:solidFill>
          </a:ln>
        </c:spPr>
        <c:crossAx val="9571315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Queensland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 Polak</dc:creator>
  <cp:lastModifiedBy>Tal Polak</cp:lastModifiedBy>
  <cp:revision>2</cp:revision>
  <dcterms:created xsi:type="dcterms:W3CDTF">2015-03-09T15:20:00Z</dcterms:created>
  <dcterms:modified xsi:type="dcterms:W3CDTF">2015-03-25T12:49:00Z</dcterms:modified>
</cp:coreProperties>
</file>