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85F36" w14:textId="77777777" w:rsidR="00180B25" w:rsidRPr="00A7735A" w:rsidRDefault="00180B25" w:rsidP="00180B25">
      <w:pPr>
        <w:rPr>
          <w:rFonts w:ascii="Times New Roman" w:hAnsi="Times New Roman" w:cs="Times New Roman"/>
          <w:b/>
          <w:sz w:val="24"/>
          <w:szCs w:val="24"/>
        </w:rPr>
      </w:pPr>
      <w:r w:rsidRPr="00A7735A">
        <w:rPr>
          <w:rFonts w:ascii="Times New Roman" w:hAnsi="Times New Roman" w:cs="Times New Roman"/>
          <w:b/>
          <w:sz w:val="24"/>
          <w:szCs w:val="24"/>
        </w:rPr>
        <w:t>Legends for Supplemental Figures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0797DF9" w14:textId="77777777" w:rsidR="00180B25" w:rsidRDefault="00180B25" w:rsidP="00180B25">
      <w:pPr>
        <w:rPr>
          <w:rFonts w:ascii="Times New Roman" w:hAnsi="Times New Roman" w:cs="Times New Roman"/>
          <w:sz w:val="24"/>
          <w:szCs w:val="24"/>
        </w:rPr>
      </w:pPr>
      <w:r w:rsidRPr="00A7735A">
        <w:rPr>
          <w:rFonts w:ascii="Times New Roman" w:hAnsi="Times New Roman" w:cs="Times New Roman"/>
          <w:b/>
          <w:sz w:val="24"/>
          <w:szCs w:val="24"/>
        </w:rPr>
        <w:t xml:space="preserve">Figure S1. Effect of AEA on the proliferation </w:t>
      </w:r>
      <w:r>
        <w:rPr>
          <w:rFonts w:ascii="Times New Roman" w:hAnsi="Times New Roman" w:cs="Times New Roman"/>
          <w:b/>
          <w:sz w:val="24"/>
          <w:szCs w:val="24"/>
        </w:rPr>
        <w:t>and</w:t>
      </w:r>
      <w:r w:rsidRPr="00A7735A">
        <w:rPr>
          <w:rFonts w:ascii="Times New Roman" w:hAnsi="Times New Roman" w:cs="Times New Roman"/>
          <w:b/>
          <w:sz w:val="24"/>
          <w:szCs w:val="24"/>
        </w:rPr>
        <w:t xml:space="preserve"> co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A7735A">
        <w:rPr>
          <w:rFonts w:ascii="Times New Roman" w:hAnsi="Times New Roman" w:cs="Times New Roman"/>
          <w:b/>
          <w:sz w:val="24"/>
          <w:szCs w:val="24"/>
        </w:rPr>
        <w:t>expression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7735A">
        <w:rPr>
          <w:rFonts w:ascii="Times New Roman" w:hAnsi="Times New Roman" w:cs="Times New Roman"/>
          <w:b/>
          <w:sz w:val="24"/>
          <w:szCs w:val="24"/>
        </w:rPr>
        <w:t>of Axin2, C</w:t>
      </w:r>
      <w:r>
        <w:rPr>
          <w:rFonts w:ascii="Times New Roman" w:hAnsi="Times New Roman" w:cs="Times New Roman"/>
          <w:b/>
          <w:sz w:val="24"/>
          <w:szCs w:val="24"/>
        </w:rPr>
        <w:t>NR1</w:t>
      </w:r>
      <w:r w:rsidRPr="00A7735A">
        <w:rPr>
          <w:rFonts w:ascii="Times New Roman" w:hAnsi="Times New Roman" w:cs="Times New Roman"/>
          <w:b/>
          <w:sz w:val="24"/>
          <w:szCs w:val="24"/>
        </w:rPr>
        <w:t xml:space="preserve"> and CK19 (Krt19) mRNA in rat HPCs </w:t>
      </w:r>
      <w:r>
        <w:rPr>
          <w:rFonts w:ascii="Times New Roman" w:hAnsi="Times New Roman" w:cs="Times New Roman"/>
          <w:b/>
          <w:sz w:val="24"/>
          <w:szCs w:val="24"/>
        </w:rPr>
        <w:t xml:space="preserve">(LE2 cells). </w:t>
      </w:r>
      <w:r w:rsidRPr="00A7735A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E5585F">
        <w:rPr>
          <w:rFonts w:ascii="Times New Roman" w:hAnsi="Times New Roman" w:cs="Times New Roman"/>
          <w:sz w:val="24"/>
          <w:szCs w:val="24"/>
        </w:rPr>
        <w:t>The effect of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2F29">
        <w:rPr>
          <w:rFonts w:ascii="Times New Roman" w:hAnsi="Times New Roman" w:cs="Times New Roman"/>
          <w:sz w:val="24"/>
          <w:szCs w:val="24"/>
        </w:rPr>
        <w:t xml:space="preserve">50-300 </w:t>
      </w:r>
      <w:proofErr w:type="spellStart"/>
      <w:r w:rsidRPr="00222F29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222F29">
        <w:rPr>
          <w:rFonts w:ascii="Times New Roman" w:hAnsi="Times New Roman" w:cs="Times New Roman"/>
          <w:sz w:val="24"/>
          <w:szCs w:val="24"/>
        </w:rPr>
        <w:t xml:space="preserve"> anandamide</w:t>
      </w:r>
      <w:r w:rsidRPr="00A773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(AEA) versus vehicle on the </w:t>
      </w:r>
      <w:r w:rsidRPr="00E5585F">
        <w:rPr>
          <w:rFonts w:ascii="Times New Roman" w:hAnsi="Times New Roman" w:cs="Times New Roman"/>
          <w:sz w:val="24"/>
          <w:szCs w:val="24"/>
        </w:rPr>
        <w:t xml:space="preserve">proliferation of </w:t>
      </w:r>
      <w:r>
        <w:rPr>
          <w:rFonts w:ascii="Times New Roman" w:hAnsi="Times New Roman" w:cs="Times New Roman"/>
          <w:sz w:val="24"/>
          <w:szCs w:val="24"/>
        </w:rPr>
        <w:t xml:space="preserve">LE2 </w:t>
      </w:r>
      <w:r w:rsidRPr="00E5585F">
        <w:rPr>
          <w:rFonts w:ascii="Times New Roman" w:hAnsi="Times New Roman" w:cs="Times New Roman"/>
          <w:sz w:val="24"/>
          <w:szCs w:val="24"/>
        </w:rPr>
        <w:t>cells.</w:t>
      </w:r>
      <w:r w:rsidRPr="00A7735A">
        <w:rPr>
          <w:rFonts w:ascii="Times New Roman" w:hAnsi="Times New Roman" w:cs="Times New Roman"/>
          <w:b/>
          <w:sz w:val="24"/>
          <w:szCs w:val="24"/>
        </w:rPr>
        <w:t xml:space="preserve"> B. </w:t>
      </w:r>
      <w:proofErr w:type="spellStart"/>
      <w:r w:rsidRPr="00E5585F">
        <w:rPr>
          <w:rFonts w:ascii="Times New Roman" w:hAnsi="Times New Roman" w:cs="Times New Roman"/>
          <w:sz w:val="24"/>
          <w:szCs w:val="24"/>
        </w:rPr>
        <w:t>BrdU</w:t>
      </w:r>
      <w:proofErr w:type="spellEnd"/>
      <w:r w:rsidRPr="00E5585F">
        <w:rPr>
          <w:rFonts w:ascii="Times New Roman" w:hAnsi="Times New Roman" w:cs="Times New Roman"/>
          <w:sz w:val="24"/>
          <w:szCs w:val="24"/>
        </w:rPr>
        <w:t xml:space="preserve"> incorporation in LE2 cells as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3317">
        <w:rPr>
          <w:rFonts w:ascii="Times New Roman" w:hAnsi="Times New Roman" w:cs="Times New Roman"/>
          <w:sz w:val="24"/>
          <w:szCs w:val="24"/>
        </w:rPr>
        <w:t xml:space="preserve">detected by fluorescence confocal microscopy </w:t>
      </w:r>
      <w:r>
        <w:rPr>
          <w:rFonts w:ascii="Times New Roman" w:hAnsi="Times New Roman" w:cs="Times New Roman"/>
          <w:sz w:val="24"/>
          <w:szCs w:val="24"/>
        </w:rPr>
        <w:t xml:space="preserve">in response to the indicated concentrations of </w:t>
      </w:r>
      <w:r w:rsidRPr="00E5585F">
        <w:rPr>
          <w:rFonts w:ascii="Times New Roman" w:hAnsi="Times New Roman" w:cs="Times New Roman"/>
          <w:sz w:val="24"/>
          <w:szCs w:val="24"/>
        </w:rPr>
        <w:t xml:space="preserve">AEA </w:t>
      </w:r>
      <w:r>
        <w:rPr>
          <w:rFonts w:ascii="Times New Roman" w:hAnsi="Times New Roman" w:cs="Times New Roman"/>
          <w:sz w:val="24"/>
          <w:szCs w:val="24"/>
        </w:rPr>
        <w:t xml:space="preserve">with or without the </w:t>
      </w:r>
      <w:r w:rsidRPr="00E5585F">
        <w:rPr>
          <w:rFonts w:ascii="Times New Roman" w:hAnsi="Times New Roman" w:cs="Times New Roman"/>
          <w:sz w:val="24"/>
          <w:szCs w:val="24"/>
        </w:rPr>
        <w:t>CB1R antagonist SR1 (rimonabant).</w:t>
      </w:r>
      <w:r w:rsidRPr="00A7735A">
        <w:rPr>
          <w:rFonts w:ascii="Times New Roman" w:hAnsi="Times New Roman" w:cs="Times New Roman"/>
          <w:b/>
          <w:sz w:val="24"/>
          <w:szCs w:val="24"/>
        </w:rPr>
        <w:t xml:space="preserve"> C. </w:t>
      </w:r>
      <w:proofErr w:type="spellStart"/>
      <w:r w:rsidRPr="00E5585F">
        <w:rPr>
          <w:rFonts w:ascii="Times New Roman" w:hAnsi="Times New Roman" w:cs="Times New Roman"/>
          <w:sz w:val="24"/>
          <w:szCs w:val="24"/>
        </w:rPr>
        <w:t>RNAscope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585F">
        <w:rPr>
          <w:rFonts w:ascii="Times New Roman" w:hAnsi="Times New Roman" w:cs="Times New Roman"/>
          <w:sz w:val="24"/>
          <w:szCs w:val="24"/>
        </w:rPr>
        <w:t xml:space="preserve">analyses of the effect of AEA (300 </w:t>
      </w:r>
      <w:proofErr w:type="spellStart"/>
      <w:r w:rsidRPr="00E5585F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E5585F">
        <w:rPr>
          <w:rFonts w:ascii="Times New Roman" w:hAnsi="Times New Roman" w:cs="Times New Roman"/>
          <w:sz w:val="24"/>
          <w:szCs w:val="24"/>
        </w:rPr>
        <w:t>) on the expression of Axin2, Cnr1 and CK19 in LE2 cells.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585F">
        <w:rPr>
          <w:rFonts w:ascii="Times New Roman" w:hAnsi="Times New Roman" w:cs="Times New Roman"/>
          <w:sz w:val="24"/>
          <w:szCs w:val="24"/>
        </w:rPr>
        <w:t>Yellow arrows in panel A illustrate co-expression of the 3 mRNAs in the same cell. Co-expression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585F">
        <w:rPr>
          <w:rFonts w:ascii="Times New Roman" w:hAnsi="Times New Roman" w:cs="Times New Roman"/>
          <w:sz w:val="24"/>
          <w:szCs w:val="24"/>
        </w:rPr>
        <w:t>is also illustrated by an overlay.</w:t>
      </w:r>
    </w:p>
    <w:p w14:paraId="3FE28DC0" w14:textId="77777777" w:rsidR="00180B25" w:rsidRPr="00A73117" w:rsidRDefault="00180B25" w:rsidP="00180B25">
      <w:pPr>
        <w:rPr>
          <w:rFonts w:ascii="Times New Roman" w:hAnsi="Times New Roman" w:cs="Times New Roman"/>
          <w:sz w:val="24"/>
          <w:szCs w:val="24"/>
        </w:rPr>
      </w:pPr>
      <w:r w:rsidRPr="00EF5538">
        <w:rPr>
          <w:rFonts w:ascii="Times New Roman" w:hAnsi="Times New Roman" w:cs="Times New Roman"/>
          <w:b/>
          <w:bCs/>
          <w:sz w:val="24"/>
          <w:szCs w:val="24"/>
        </w:rPr>
        <w:t>Figure S2.</w:t>
      </w:r>
      <w:r w:rsidRPr="00A73117">
        <w:rPr>
          <w:rFonts w:ascii="Times New Roman" w:hAnsi="Times New Roman" w:cs="Times New Roman"/>
          <w:sz w:val="24"/>
          <w:szCs w:val="24"/>
        </w:rPr>
        <w:t xml:space="preserve"> </w:t>
      </w:r>
      <w:r w:rsidRPr="00EF5538">
        <w:rPr>
          <w:rFonts w:ascii="Times New Roman" w:hAnsi="Times New Roman" w:cs="Times New Roman"/>
          <w:b/>
          <w:bCs/>
          <w:sz w:val="24"/>
          <w:szCs w:val="24"/>
        </w:rPr>
        <w:t>Effect of anandamide in WNT β-catenin signaling in the nucleus as development process in the network of hepatic progenitor cells</w:t>
      </w:r>
      <w:r w:rsidRPr="00A73117">
        <w:rPr>
          <w:rFonts w:ascii="Times New Roman" w:hAnsi="Times New Roman" w:cs="Times New Roman"/>
          <w:sz w:val="24"/>
          <w:szCs w:val="24"/>
        </w:rPr>
        <w:t xml:space="preserve">. RKPM values from transcriptome data for β-catenin and Axin2 are provided along with graphical presentation for clarity. </w:t>
      </w:r>
    </w:p>
    <w:p w14:paraId="7164E5D9" w14:textId="77777777" w:rsidR="00180B25" w:rsidRPr="00A73117" w:rsidRDefault="00180B25" w:rsidP="00180B25">
      <w:pPr>
        <w:rPr>
          <w:rFonts w:ascii="Times New Roman" w:hAnsi="Times New Roman" w:cs="Times New Roman"/>
          <w:sz w:val="24"/>
          <w:szCs w:val="24"/>
        </w:rPr>
      </w:pPr>
      <w:r w:rsidRPr="00EF5538">
        <w:rPr>
          <w:rFonts w:ascii="Times New Roman" w:hAnsi="Times New Roman" w:cs="Times New Roman"/>
          <w:b/>
          <w:bCs/>
          <w:sz w:val="24"/>
          <w:szCs w:val="24"/>
        </w:rPr>
        <w:t>Figure S3. Effect of anandamide on TGF-β receptor signaling.</w:t>
      </w:r>
      <w:r w:rsidRPr="00A73117">
        <w:rPr>
          <w:rFonts w:ascii="Times New Roman" w:hAnsi="Times New Roman" w:cs="Times New Roman"/>
          <w:sz w:val="24"/>
          <w:szCs w:val="24"/>
        </w:rPr>
        <w:t xml:space="preserve"> TGF-β 1 initiates signaling by binding to and bringing together type I (β-catenin dependent upregulation verified by RT-PCR) and type II receptor serine/threonine kinases (TGF-β receptor type I and II) on the cell surface. TGF-β1 also activates p38 MAPK and mitogen-activated protein kinase </w:t>
      </w:r>
      <w:proofErr w:type="spellStart"/>
      <w:r w:rsidRPr="00A73117">
        <w:rPr>
          <w:rFonts w:ascii="Times New Roman" w:hAnsi="Times New Roman" w:cs="Times New Roman"/>
          <w:sz w:val="24"/>
          <w:szCs w:val="24"/>
        </w:rPr>
        <w:t>kinase</w:t>
      </w:r>
      <w:proofErr w:type="spellEnd"/>
      <w:r w:rsidRPr="00A73117">
        <w:rPr>
          <w:rFonts w:ascii="Times New Roman" w:hAnsi="Times New Roman" w:cs="Times New Roman"/>
          <w:sz w:val="24"/>
          <w:szCs w:val="24"/>
        </w:rPr>
        <w:t xml:space="preserve"> 1 and 2 (MEK1 and MEK2</w:t>
      </w:r>
      <w:proofErr w:type="gramStart"/>
      <w:r w:rsidRPr="00A73117">
        <w:rPr>
          <w:rFonts w:ascii="Times New Roman" w:hAnsi="Times New Roman" w:cs="Times New Roman"/>
          <w:sz w:val="24"/>
          <w:szCs w:val="24"/>
        </w:rPr>
        <w:t>)  in</w:t>
      </w:r>
      <w:proofErr w:type="gramEnd"/>
      <w:r w:rsidRPr="00A73117">
        <w:rPr>
          <w:rFonts w:ascii="Times New Roman" w:hAnsi="Times New Roman" w:cs="Times New Roman"/>
          <w:sz w:val="24"/>
          <w:szCs w:val="24"/>
        </w:rPr>
        <w:t xml:space="preserve"> differentiation. Four genes (PAI1, IKK-alpha, MEK1 and TGF-b R1) from this specific pathway were verified by real-time PCR (n=3/groups, * statistically significant p&lt;0.05 compared to vehicle, # statistically significant p&lt;0.05 compared to AEA treated WT cell line). </w:t>
      </w:r>
    </w:p>
    <w:p w14:paraId="46D2B3A3" w14:textId="77777777" w:rsidR="00180B25" w:rsidRPr="00A73117" w:rsidRDefault="00180B25" w:rsidP="00180B25">
      <w:pPr>
        <w:rPr>
          <w:rFonts w:ascii="Times New Roman" w:hAnsi="Times New Roman" w:cs="Times New Roman"/>
          <w:sz w:val="24"/>
          <w:szCs w:val="24"/>
        </w:rPr>
      </w:pPr>
      <w:r w:rsidRPr="00EF5538">
        <w:rPr>
          <w:rFonts w:ascii="Times New Roman" w:hAnsi="Times New Roman" w:cs="Times New Roman"/>
          <w:b/>
          <w:bCs/>
          <w:sz w:val="24"/>
          <w:szCs w:val="24"/>
        </w:rPr>
        <w:t>Figure S4. Effect of anandamide on G1 to S transition in cell cycle.</w:t>
      </w:r>
      <w:r w:rsidRPr="00A73117">
        <w:rPr>
          <w:rFonts w:ascii="Times New Roman" w:hAnsi="Times New Roman" w:cs="Times New Roman"/>
          <w:sz w:val="24"/>
          <w:szCs w:val="24"/>
        </w:rPr>
        <w:t xml:space="preserve">  Both TGF-β1 and TGF-β2 participate in the regulation of the G1/S checkpoint. TGF-β factors induce an association of its receptor with the regulatory subunit of protein phosphatase-2A (PP2A). Four genes (PP2A, CDK2, SP1, p27KIP1) from the pathway were further verified by real-time PCR (n=3/groups, *P&lt;0.05 compared to vehicle).</w:t>
      </w:r>
    </w:p>
    <w:p w14:paraId="1C424D28" w14:textId="77777777" w:rsidR="00180B25" w:rsidRPr="00E5585F" w:rsidRDefault="00180B25" w:rsidP="00180B25">
      <w:pPr>
        <w:rPr>
          <w:rFonts w:ascii="Times New Roman" w:hAnsi="Times New Roman" w:cs="Times New Roman"/>
          <w:sz w:val="24"/>
          <w:szCs w:val="24"/>
        </w:rPr>
      </w:pPr>
      <w:r w:rsidRPr="00C923A7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C923A7">
        <w:rPr>
          <w:rFonts w:ascii="Times New Roman" w:hAnsi="Times New Roman" w:cs="Times New Roman"/>
          <w:b/>
          <w:bCs/>
          <w:sz w:val="24"/>
          <w:szCs w:val="24"/>
        </w:rPr>
        <w:t>. Effect of endocannabinoid in cell cycle through the influence of Ras and Rho proteins on G1S Transition.</w:t>
      </w:r>
      <w:r w:rsidRPr="00A73117">
        <w:rPr>
          <w:rFonts w:ascii="Times New Roman" w:hAnsi="Times New Roman" w:cs="Times New Roman"/>
          <w:sz w:val="24"/>
          <w:szCs w:val="24"/>
        </w:rPr>
        <w:t xml:space="preserve"> H-Ras (Harvey rat sarcoma viral oncogene homolog) activates G1/S transition and cell proliferation mainly by v-raf-1 murine leukemia viral oncogene homolog 1 (c-Raf-1)/Mitogen-activated protein kinase kinases 1/2 (MEK1/2)/ Mitogen-activated protein kinases 3/1 (ERK1/2) cascade. Genes (CDC42, ROCK1, RB1 and GSK3-beta) were verified by real-time PCR (n=3/groups, * statistically significant p&lt;0.05 compared to vehicle; # statistically significant p&lt;0.05 compared to AEA treated WT cell line). </w:t>
      </w:r>
    </w:p>
    <w:p w14:paraId="3696C250" w14:textId="77777777" w:rsidR="00180B25" w:rsidRDefault="00180B25" w:rsidP="00180B2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AE278A7" w14:textId="77777777" w:rsidR="00C21F3D" w:rsidRDefault="00C21F3D"/>
    <w:sectPr w:rsidR="00C21F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I0MjE3t7A0NrI0MbJQ0lEKTi0uzszPAykwrAUAGOW2kywAAAA="/>
  </w:docVars>
  <w:rsids>
    <w:rsidRoot w:val="00180B25"/>
    <w:rsid w:val="00180B25"/>
    <w:rsid w:val="00C21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64F94"/>
  <w15:chartTrackingRefBased/>
  <w15:docId w15:val="{0094540A-DDCB-40FE-A556-AB4CC4123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B2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Mukhopadhyay, Bani (NIH/NIAAA) [E]</dc:creator>
  <cp:keywords/>
  <dc:description/>
  <cp:lastModifiedBy>Mukhopadhyay, Bani (NIH/NIAAA) [E]</cp:lastModifiedBy>
  <cp:revision>1</cp:revision>
  <dcterms:created xsi:type="dcterms:W3CDTF">2022-11-14T18:39:00Z</dcterms:created>
  <dcterms:modified xsi:type="dcterms:W3CDTF">2022-11-14T18:39:00Z</dcterms:modified>
</cp:coreProperties>
</file>