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D908" w14:textId="63C76F5E" w:rsidR="009535F4" w:rsidRDefault="009535F4" w:rsidP="008F5306">
      <w:pPr>
        <w:spacing w:after="80"/>
        <w:rPr>
          <w:rFonts w:ascii="Arial" w:hAnsi="Arial" w:cs="Arial"/>
          <w:b/>
          <w:bCs/>
          <w:sz w:val="24"/>
          <w:szCs w:val="24"/>
        </w:rPr>
      </w:pPr>
      <w:r w:rsidRPr="00574292">
        <w:rPr>
          <w:rFonts w:ascii="Arial" w:hAnsi="Arial" w:cs="Arial"/>
          <w:b/>
          <w:bCs/>
          <w:sz w:val="24"/>
          <w:szCs w:val="24"/>
        </w:rPr>
        <w:t>Supplementary Figures</w:t>
      </w:r>
    </w:p>
    <w:p w14:paraId="5BA79459" w14:textId="77777777" w:rsidR="003B63CD" w:rsidRPr="00574292" w:rsidRDefault="003B63CD" w:rsidP="008F5306">
      <w:pPr>
        <w:spacing w:after="80"/>
        <w:rPr>
          <w:rFonts w:ascii="Arial" w:hAnsi="Arial" w:cs="Arial"/>
          <w:b/>
          <w:bCs/>
          <w:sz w:val="24"/>
          <w:szCs w:val="24"/>
        </w:rPr>
      </w:pPr>
    </w:p>
    <w:p w14:paraId="63A5480E" w14:textId="77777777" w:rsidR="003B63CD" w:rsidRDefault="003B63CD" w:rsidP="003B63CD">
      <w:pPr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6F49C97" wp14:editId="4AABAB7E">
            <wp:extent cx="5859178" cy="4987637"/>
            <wp:effectExtent l="0" t="0" r="0" b="0"/>
            <wp:docPr id="2020525143" name="Picture 8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525143" name="Picture 8" descr="A screenshot of a video gam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415" cy="4998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CA34D0" w14:textId="62161347" w:rsidR="003B63CD" w:rsidRPr="009664AD" w:rsidRDefault="003B63CD" w:rsidP="003B63CD">
      <w:pPr>
        <w:contextualSpacing/>
        <w:rPr>
          <w:rFonts w:ascii="Arial" w:hAnsi="Arial" w:cs="Arial"/>
        </w:rPr>
      </w:pPr>
      <w:r w:rsidRPr="009664AD">
        <w:rPr>
          <w:rFonts w:ascii="Arial" w:hAnsi="Arial" w:cs="Arial"/>
          <w:b/>
          <w:bCs/>
        </w:rPr>
        <w:t xml:space="preserve">Figure S1. (A, B) Cnr1 and Cnr2 expression in </w:t>
      </w:r>
      <w:r w:rsidRPr="7E666EC1">
        <w:rPr>
          <w:rFonts w:ascii="Arial" w:hAnsi="Arial" w:cs="Arial"/>
          <w:b/>
          <w:bCs/>
          <w:i/>
          <w:iCs/>
        </w:rPr>
        <w:t>Salmonella</w:t>
      </w:r>
      <w:r w:rsidRPr="009664AD">
        <w:rPr>
          <w:rFonts w:ascii="Arial" w:hAnsi="Arial" w:cs="Arial"/>
          <w:b/>
          <w:bCs/>
        </w:rPr>
        <w:t xml:space="preserve">-infected macrophages over time. </w:t>
      </w:r>
      <w:r w:rsidRPr="009664AD">
        <w:rPr>
          <w:rFonts w:ascii="Arial" w:hAnsi="Arial" w:cs="Arial"/>
        </w:rPr>
        <w:t xml:space="preserve">The </w:t>
      </w:r>
      <w:r w:rsidR="5B44ECD7" w:rsidRPr="009664AD">
        <w:rPr>
          <w:rFonts w:ascii="Arial" w:hAnsi="Arial" w:cs="Arial"/>
        </w:rPr>
        <w:t xml:space="preserve">gene </w:t>
      </w:r>
      <w:r w:rsidRPr="009664AD">
        <w:rPr>
          <w:rFonts w:ascii="Arial" w:hAnsi="Arial" w:cs="Arial"/>
        </w:rPr>
        <w:t xml:space="preserve">expression levels of </w:t>
      </w:r>
      <w:r w:rsidRPr="7E666EC1">
        <w:rPr>
          <w:rFonts w:ascii="Arial" w:hAnsi="Arial" w:cs="Arial"/>
          <w:i/>
          <w:iCs/>
        </w:rPr>
        <w:t>Cnr1</w:t>
      </w:r>
      <w:r w:rsidRPr="009664AD">
        <w:rPr>
          <w:rFonts w:ascii="Arial" w:hAnsi="Arial" w:cs="Arial"/>
        </w:rPr>
        <w:t xml:space="preserve"> and </w:t>
      </w:r>
      <w:r w:rsidRPr="7E666EC1">
        <w:rPr>
          <w:rFonts w:ascii="Arial" w:hAnsi="Arial" w:cs="Arial"/>
          <w:i/>
          <w:iCs/>
        </w:rPr>
        <w:t>Cnr2</w:t>
      </w:r>
      <w:r w:rsidRPr="009664AD">
        <w:rPr>
          <w:rFonts w:ascii="Arial" w:hAnsi="Arial" w:cs="Arial"/>
        </w:rPr>
        <w:t xml:space="preserve"> were analyzed by qPCR in BMDMs following </w:t>
      </w:r>
      <w:r w:rsidRPr="7E666EC1">
        <w:rPr>
          <w:rFonts w:ascii="Arial" w:hAnsi="Arial" w:cs="Arial"/>
          <w:i/>
          <w:iCs/>
        </w:rPr>
        <w:t>Salmonella</w:t>
      </w:r>
      <w:r w:rsidRPr="009664AD">
        <w:rPr>
          <w:rFonts w:ascii="Arial" w:hAnsi="Arial" w:cs="Arial"/>
        </w:rPr>
        <w:t xml:space="preserve"> infection with an MOI of 10. Samples were collected at 0-, 2-, and 24-hours post-infection (</w:t>
      </w:r>
      <w:proofErr w:type="spellStart"/>
      <w:r w:rsidRPr="009664AD">
        <w:rPr>
          <w:rFonts w:ascii="Arial" w:hAnsi="Arial" w:cs="Arial"/>
        </w:rPr>
        <w:t>hpi</w:t>
      </w:r>
      <w:proofErr w:type="spellEnd"/>
      <w:r w:rsidRPr="009664AD">
        <w:rPr>
          <w:rFonts w:ascii="Arial" w:hAnsi="Arial" w:cs="Arial"/>
        </w:rPr>
        <w:t>). Expression was normalized to beta-actin</w:t>
      </w:r>
      <w:r w:rsidR="6CD0E7A6" w:rsidRPr="009664AD">
        <w:rPr>
          <w:rFonts w:ascii="Arial" w:hAnsi="Arial" w:cs="Arial"/>
        </w:rPr>
        <w:t xml:space="preserve"> housekeeping gene</w:t>
      </w:r>
      <w:r w:rsidRPr="009664AD">
        <w:rPr>
          <w:rFonts w:ascii="Arial" w:hAnsi="Arial" w:cs="Arial"/>
        </w:rPr>
        <w:t>. Data represent the mean ± SEM from three biological replicates.</w:t>
      </w:r>
      <w:r w:rsidRPr="009664AD">
        <w:rPr>
          <w:rFonts w:ascii="Arial" w:hAnsi="Arial" w:cs="Arial"/>
          <w:b/>
          <w:bCs/>
        </w:rPr>
        <w:t xml:space="preserve"> </w:t>
      </w:r>
      <w:r w:rsidRPr="009664AD">
        <w:rPr>
          <w:rFonts w:ascii="Arial" w:hAnsi="Arial" w:cs="Arial"/>
        </w:rPr>
        <w:t xml:space="preserve">Statistical significance is indicated as follows: *p &lt; 0.05, **p &lt; 0.01, ***p &lt; 0.001. </w:t>
      </w:r>
      <w:r w:rsidRPr="009664AD">
        <w:rPr>
          <w:rFonts w:ascii="Arial" w:hAnsi="Arial" w:cs="Arial"/>
          <w:b/>
          <w:bCs/>
        </w:rPr>
        <w:t xml:space="preserve">(C). </w:t>
      </w:r>
      <w:r w:rsidRPr="009664AD">
        <w:rPr>
          <w:rFonts w:ascii="Arial" w:hAnsi="Arial" w:cs="Arial"/>
        </w:rPr>
        <w:t xml:space="preserve">Differential expression analysis of CNR1 and CNR2 was performed using RNA-seq data from Schade </w:t>
      </w:r>
      <w:r w:rsidRPr="7E666EC1">
        <w:rPr>
          <w:rFonts w:ascii="Arial" w:hAnsi="Arial" w:cs="Arial"/>
          <w:i/>
          <w:iCs/>
        </w:rPr>
        <w:t>et al.</w:t>
      </w:r>
      <w:r w:rsidRPr="009664AD">
        <w:rPr>
          <w:rFonts w:ascii="Arial" w:hAnsi="Arial" w:cs="Arial"/>
        </w:rPr>
        <w:t xml:space="preserve"> </w:t>
      </w:r>
      <w:r w:rsidRPr="009664AD">
        <w:rPr>
          <w:rFonts w:ascii="Arial" w:hAnsi="Arial" w:cs="Arial"/>
        </w:rPr>
        <w:fldChar w:fldCharType="begin">
          <w:fldData xml:space="preserve">PEVuZE5vdGU+PENpdGU+PEF1dGhvcj5TY2hhZGU8L0F1dGhvcj48WWVhcj4yMDI0PC9ZZWFyPjxJ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</w:fldData>
        </w:fldChar>
      </w:r>
      <w:r>
        <w:rPr>
          <w:rFonts w:ascii="Arial" w:hAnsi="Arial" w:cs="Arial"/>
        </w:rPr>
        <w:instrText xml:space="preserve"> ADDIN EN.CITE </w:instrText>
      </w:r>
      <w:r>
        <w:rPr>
          <w:rFonts w:ascii="Arial" w:hAnsi="Arial" w:cs="Arial"/>
        </w:rPr>
        <w:fldChar w:fldCharType="begin">
          <w:fldData xml:space="preserve">PEVuZE5vdGU+PENpdGU+PEF1dGhvcj5TY2hhZGU8L0F1dGhvcj48WWVhcj4yMDI0PC9ZZWFyPjxJ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</w:fldData>
        </w:fldChar>
      </w:r>
      <w:r>
        <w:rPr>
          <w:rFonts w:ascii="Arial" w:hAnsi="Arial" w:cs="Arial"/>
        </w:rPr>
        <w:instrText xml:space="preserve"> ADDIN EN.CITE.DATA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end"/>
      </w:r>
      <w:r w:rsidRPr="009664AD">
        <w:rPr>
          <w:rFonts w:ascii="Arial" w:hAnsi="Arial" w:cs="Arial"/>
        </w:rPr>
      </w:r>
      <w:r w:rsidRPr="009664AD">
        <w:rPr>
          <w:rFonts w:ascii="Arial" w:hAnsi="Arial" w:cs="Arial"/>
        </w:rPr>
        <w:fldChar w:fldCharType="separate"/>
      </w:r>
      <w:r w:rsidRPr="001D3C94">
        <w:rPr>
          <w:rFonts w:ascii="Arial" w:hAnsi="Arial" w:cs="Arial"/>
          <w:noProof/>
          <w:vertAlign w:val="superscript"/>
        </w:rPr>
        <w:t>37</w:t>
      </w:r>
      <w:r w:rsidRPr="009664AD">
        <w:rPr>
          <w:rFonts w:ascii="Arial" w:hAnsi="Arial" w:cs="Arial"/>
        </w:rPr>
        <w:fldChar w:fldCharType="end"/>
      </w:r>
      <w:r w:rsidRPr="009664AD">
        <w:rPr>
          <w:rFonts w:ascii="Arial" w:hAnsi="Arial" w:cs="Arial"/>
        </w:rPr>
        <w:t xml:space="preserve">, which profiled transcriptomes of human THP-1 macrophages infected with </w:t>
      </w:r>
      <w:r w:rsidRPr="7E666EC1">
        <w:rPr>
          <w:rFonts w:ascii="Arial" w:hAnsi="Arial" w:cs="Arial"/>
          <w:i/>
          <w:iCs/>
        </w:rPr>
        <w:t xml:space="preserve">Salmonella </w:t>
      </w:r>
      <w:r w:rsidRPr="009664AD">
        <w:rPr>
          <w:rFonts w:ascii="Arial" w:hAnsi="Arial" w:cs="Arial"/>
        </w:rPr>
        <w:t>Typhi 18-h post-infection. Cannabinoid receptor expression across five macrophage populations: naïve, bystander, host-killed, non-replicating, and replicating is shown. Statistical significance was determined by adjusted p-values; asterisks indicate significant differential expression (</w:t>
      </w:r>
      <w:r w:rsidR="00F74F76" w:rsidRPr="009664AD">
        <w:rPr>
          <w:rFonts w:ascii="Arial" w:hAnsi="Arial" w:cs="Arial"/>
        </w:rPr>
        <w:t>*</w:t>
      </w:r>
      <w:r w:rsidRPr="7E666EC1">
        <w:rPr>
          <w:rFonts w:ascii="Arial" w:hAnsi="Arial" w:cs="Arial"/>
          <w:i/>
          <w:iCs/>
        </w:rPr>
        <w:t>p</w:t>
      </w:r>
      <w:r w:rsidRPr="009664AD">
        <w:rPr>
          <w:rFonts w:ascii="Arial" w:hAnsi="Arial" w:cs="Arial"/>
        </w:rPr>
        <w:t xml:space="preserve"> &lt; 0.05).</w:t>
      </w:r>
    </w:p>
    <w:p w14:paraId="2658EB20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3C41031E" w14:textId="77777777" w:rsidR="003B63CD" w:rsidRDefault="003B63CD" w:rsidP="003B63CD">
      <w:pPr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14F33B7" wp14:editId="3DE1CDC9">
            <wp:extent cx="5872430" cy="2790701"/>
            <wp:effectExtent l="0" t="0" r="0" b="0"/>
            <wp:docPr id="462384082" name="Picture 9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384082" name="Picture 9" descr="A screenshot of a video gam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55" b="26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566" cy="2795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215D3B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0C027747" w14:textId="0DF3EB99" w:rsidR="003B63CD" w:rsidRDefault="003B63CD" w:rsidP="003B63CD">
      <w:pPr>
        <w:contextualSpacing/>
        <w:rPr>
          <w:rFonts w:ascii="Arial" w:hAnsi="Arial" w:cs="Arial"/>
        </w:rPr>
      </w:pPr>
      <w:r w:rsidRPr="7E666EC1">
        <w:rPr>
          <w:rFonts w:ascii="Arial" w:hAnsi="Arial" w:cs="Arial"/>
          <w:b/>
          <w:bCs/>
        </w:rPr>
        <w:t xml:space="preserve">Figure S2. Baseline characteristics of WT, CB1R-KO, and CB2R-KO mice prior to </w:t>
      </w:r>
      <w:r w:rsidRPr="7E666EC1">
        <w:rPr>
          <w:rFonts w:ascii="Arial" w:hAnsi="Arial" w:cs="Arial"/>
          <w:b/>
          <w:bCs/>
          <w:i/>
          <w:iCs/>
        </w:rPr>
        <w:t xml:space="preserve">Salmonella </w:t>
      </w:r>
      <w:r w:rsidRPr="7E666EC1">
        <w:rPr>
          <w:rFonts w:ascii="Arial" w:hAnsi="Arial" w:cs="Arial"/>
          <w:b/>
          <w:bCs/>
        </w:rPr>
        <w:t>Typhimurium infection. (A)</w:t>
      </w:r>
      <w:r w:rsidRPr="7E666EC1">
        <w:rPr>
          <w:rFonts w:ascii="Arial" w:hAnsi="Arial" w:cs="Arial"/>
        </w:rPr>
        <w:t xml:space="preserve"> Body weights of wild-type (WT), CB1 receptor knockout (CB1R-KO), and CB2 receptor knockout (CB2R-KO) C57BL/6 mice prior to infection (n = 6 or 7 per group). </w:t>
      </w:r>
      <w:r w:rsidRPr="7E666EC1">
        <w:rPr>
          <w:rFonts w:ascii="Arial" w:hAnsi="Arial" w:cs="Arial"/>
          <w:b/>
          <w:bCs/>
        </w:rPr>
        <w:t xml:space="preserve">(B) </w:t>
      </w:r>
      <w:r w:rsidRPr="7E666EC1">
        <w:rPr>
          <w:rFonts w:ascii="Arial" w:hAnsi="Arial" w:cs="Arial"/>
        </w:rPr>
        <w:t xml:space="preserve">Flow cytometry quantification of </w:t>
      </w:r>
      <w:r w:rsidR="355ED5BB" w:rsidRPr="7E666EC1">
        <w:rPr>
          <w:rFonts w:ascii="Arial" w:hAnsi="Arial" w:cs="Arial"/>
        </w:rPr>
        <w:t xml:space="preserve">live </w:t>
      </w:r>
      <w:r w:rsidRPr="7E666EC1">
        <w:rPr>
          <w:rFonts w:ascii="Arial" w:hAnsi="Arial" w:cs="Arial"/>
        </w:rPr>
        <w:t>immune cell subsets in the spleen before infection, including CD11b</w:t>
      </w:r>
      <w:r w:rsidRPr="7E666EC1">
        <w:rPr>
          <w:rFonts w:ascii="Cambria Math" w:hAnsi="Cambria Math" w:cs="Cambria Math"/>
        </w:rPr>
        <w:t>⁺</w:t>
      </w:r>
      <w:r w:rsidRPr="7E666EC1">
        <w:rPr>
          <w:rFonts w:ascii="Arial" w:hAnsi="Arial" w:cs="Arial"/>
        </w:rPr>
        <w:t>F4/80</w:t>
      </w:r>
      <w:r w:rsidRPr="7E666EC1">
        <w:rPr>
          <w:rFonts w:ascii="Cambria Math" w:hAnsi="Cambria Math" w:cs="Cambria Math"/>
        </w:rPr>
        <w:t>⁺</w:t>
      </w:r>
      <w:r w:rsidRPr="7E666EC1">
        <w:rPr>
          <w:rFonts w:ascii="Arial" w:hAnsi="Arial" w:cs="Arial"/>
        </w:rPr>
        <w:t xml:space="preserve"> (macrophages), CD45</w:t>
      </w:r>
      <w:r w:rsidRPr="7E666EC1">
        <w:rPr>
          <w:rFonts w:ascii="Cambria Math" w:hAnsi="Cambria Math" w:cs="Cambria Math"/>
        </w:rPr>
        <w:t>⁺</w:t>
      </w:r>
      <w:r w:rsidRPr="7E666EC1">
        <w:rPr>
          <w:rFonts w:ascii="Arial" w:hAnsi="Arial" w:cs="Arial"/>
        </w:rPr>
        <w:t xml:space="preserve"> (leukocytes), CD19</w:t>
      </w:r>
      <w:r w:rsidRPr="7E666EC1">
        <w:rPr>
          <w:rFonts w:ascii="Cambria Math" w:hAnsi="Cambria Math" w:cs="Cambria Math"/>
        </w:rPr>
        <w:t>⁺</w:t>
      </w:r>
      <w:r w:rsidRPr="7E666EC1">
        <w:rPr>
          <w:rFonts w:ascii="Arial" w:hAnsi="Arial" w:cs="Arial"/>
        </w:rPr>
        <w:t xml:space="preserve"> (B cells), and CD3</w:t>
      </w:r>
      <w:r w:rsidRPr="7E666EC1">
        <w:rPr>
          <w:rFonts w:ascii="Cambria Math" w:hAnsi="Cambria Math" w:cs="Cambria Math"/>
        </w:rPr>
        <w:t>⁺</w:t>
      </w:r>
      <w:r w:rsidRPr="7E666EC1">
        <w:rPr>
          <w:rFonts w:ascii="Arial" w:hAnsi="Arial" w:cs="Arial"/>
        </w:rPr>
        <w:t xml:space="preserve"> (T cells) (n = 2 per group).</w:t>
      </w:r>
    </w:p>
    <w:p w14:paraId="55A6A646" w14:textId="77777777" w:rsidR="003B63CD" w:rsidRDefault="003B63CD" w:rsidP="003B63CD">
      <w:pPr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1B5169E0" wp14:editId="341C6A2D">
            <wp:extent cx="4869815" cy="4394791"/>
            <wp:effectExtent l="0" t="0" r="6985" b="6350"/>
            <wp:docPr id="562721755" name="Picture 10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721755" name="Picture 10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578" cy="4407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5B035" w14:textId="7403FB22" w:rsidR="003B63CD" w:rsidRPr="00434D96" w:rsidRDefault="003B63CD" w:rsidP="00F74F76">
      <w:pPr>
        <w:pStyle w:val="NormalWeb"/>
        <w:widowControl w:val="0"/>
        <w:shd w:val="clear" w:color="auto" w:fill="FFFFFF" w:themeFill="background1"/>
        <w:tabs>
          <w:tab w:val="left" w:pos="4410"/>
        </w:tabs>
        <w:rPr>
          <w:rFonts w:ascii="Arial" w:hAnsi="Arial" w:cs="Arial"/>
          <w:sz w:val="22"/>
          <w:szCs w:val="22"/>
        </w:rPr>
      </w:pPr>
      <w:r w:rsidRPr="7E666EC1">
        <w:rPr>
          <w:rFonts w:ascii="Arial" w:hAnsi="Arial" w:cs="Arial"/>
          <w:b/>
          <w:bCs/>
          <w:sz w:val="22"/>
          <w:szCs w:val="22"/>
        </w:rPr>
        <w:t xml:space="preserve">Figure S3. CB1R and CB2R modulate splenic innate immune responses and cytokine expression following </w:t>
      </w:r>
      <w:r w:rsidRPr="7E666EC1">
        <w:rPr>
          <w:rFonts w:ascii="Arial" w:hAnsi="Arial" w:cs="Arial"/>
          <w:b/>
          <w:bCs/>
          <w:i/>
          <w:iCs/>
          <w:sz w:val="22"/>
          <w:szCs w:val="22"/>
        </w:rPr>
        <w:t xml:space="preserve">Salmonella </w:t>
      </w:r>
      <w:r w:rsidRPr="7E666EC1">
        <w:rPr>
          <w:rFonts w:ascii="Arial" w:hAnsi="Arial" w:cs="Arial"/>
          <w:b/>
          <w:bCs/>
          <w:sz w:val="22"/>
          <w:szCs w:val="22"/>
        </w:rPr>
        <w:t>Typhimurium infection. (A)</w:t>
      </w:r>
      <w:r w:rsidRPr="7E666EC1">
        <w:rPr>
          <w:rFonts w:ascii="Arial" w:hAnsi="Arial" w:cs="Arial"/>
          <w:sz w:val="22"/>
          <w:szCs w:val="22"/>
        </w:rPr>
        <w:t xml:space="preserve"> Experimental timeline for infection and analysis. C57BL/6 mice—wild-type (WT), CB1 receptor knockout (CB1R-KO), and CB2 receptor knockout (CB2R-KO)—were pre-treated with 20 mg/mouse streptomycin by oral gavage (day -1), followed by oral gavage with 1 × 10⁸ CFU </w:t>
      </w:r>
      <w:r w:rsidRPr="7E666EC1">
        <w:rPr>
          <w:rFonts w:ascii="Arial" w:hAnsi="Arial" w:cs="Arial"/>
          <w:i/>
          <w:iCs/>
          <w:sz w:val="22"/>
          <w:szCs w:val="22"/>
        </w:rPr>
        <w:t xml:space="preserve">Salmonella </w:t>
      </w:r>
      <w:r w:rsidRPr="7E666EC1">
        <w:rPr>
          <w:rFonts w:ascii="Arial" w:hAnsi="Arial" w:cs="Arial"/>
          <w:sz w:val="22"/>
          <w:szCs w:val="22"/>
        </w:rPr>
        <w:t xml:space="preserve">Typhimurium (strain 12023) on day 0. Survival was </w:t>
      </w:r>
      <w:r w:rsidR="68F8AADC" w:rsidRPr="7E666EC1">
        <w:rPr>
          <w:rFonts w:ascii="Arial" w:hAnsi="Arial" w:cs="Arial"/>
          <w:sz w:val="22"/>
          <w:szCs w:val="22"/>
        </w:rPr>
        <w:t>recorded</w:t>
      </w:r>
      <w:r w:rsidR="00D3161C">
        <w:rPr>
          <w:rFonts w:ascii="Arial" w:hAnsi="Arial" w:cs="Arial"/>
          <w:sz w:val="22"/>
          <w:szCs w:val="22"/>
        </w:rPr>
        <w:t xml:space="preserve"> </w:t>
      </w:r>
      <w:r w:rsidR="1F3723FA" w:rsidRPr="7E666EC1">
        <w:rPr>
          <w:rFonts w:ascii="Arial" w:hAnsi="Arial" w:cs="Arial"/>
          <w:sz w:val="22"/>
          <w:szCs w:val="22"/>
        </w:rPr>
        <w:t>daily</w:t>
      </w:r>
      <w:r w:rsidRPr="7E666EC1">
        <w:rPr>
          <w:rFonts w:ascii="Arial" w:hAnsi="Arial" w:cs="Arial"/>
          <w:sz w:val="22"/>
          <w:szCs w:val="22"/>
        </w:rPr>
        <w:t xml:space="preserve">. </w:t>
      </w:r>
      <w:r w:rsidRPr="7E666EC1">
        <w:rPr>
          <w:rFonts w:ascii="Arial" w:hAnsi="Arial" w:cs="Arial"/>
          <w:b/>
          <w:bCs/>
          <w:sz w:val="22"/>
          <w:szCs w:val="22"/>
        </w:rPr>
        <w:t>(B-C)</w:t>
      </w:r>
      <w:r w:rsidRPr="7E666EC1">
        <w:rPr>
          <w:rFonts w:ascii="Arial" w:hAnsi="Arial" w:cs="Arial"/>
          <w:sz w:val="22"/>
          <w:szCs w:val="22"/>
        </w:rPr>
        <w:t xml:space="preserve"> Flow cytometry quantification of innate immune cell subsets in spleens 3 days post-infection: </w:t>
      </w:r>
      <w:r w:rsidRPr="7E666EC1">
        <w:rPr>
          <w:rFonts w:ascii="Arial" w:hAnsi="Arial" w:cs="Arial"/>
          <w:b/>
          <w:bCs/>
          <w:sz w:val="22"/>
          <w:szCs w:val="22"/>
        </w:rPr>
        <w:t>(B)</w:t>
      </w:r>
      <w:r w:rsidRPr="7E666EC1">
        <w:rPr>
          <w:rFonts w:ascii="Arial" w:hAnsi="Arial" w:cs="Arial"/>
          <w:sz w:val="22"/>
          <w:szCs w:val="22"/>
        </w:rPr>
        <w:t xml:space="preserve"> Macrophages (</w:t>
      </w:r>
      <w:r w:rsidR="67726F4D" w:rsidRPr="7E666EC1">
        <w:rPr>
          <w:rFonts w:ascii="Arial" w:hAnsi="Arial" w:cs="Arial"/>
          <w:sz w:val="22"/>
          <w:szCs w:val="22"/>
        </w:rPr>
        <w:t xml:space="preserve">Live </w:t>
      </w:r>
      <w:r w:rsidRPr="7E666EC1">
        <w:rPr>
          <w:rFonts w:ascii="Arial" w:hAnsi="Arial" w:cs="Arial"/>
          <w:sz w:val="22"/>
          <w:szCs w:val="22"/>
        </w:rPr>
        <w:t>CD45</w:t>
      </w:r>
      <w:r w:rsidRPr="7E666EC1">
        <w:rPr>
          <w:rFonts w:ascii="Cambria Math" w:hAnsi="Cambria Math" w:cs="Cambria Math"/>
          <w:sz w:val="22"/>
          <w:szCs w:val="22"/>
        </w:rPr>
        <w:t>⁺</w:t>
      </w:r>
      <w:r w:rsidRPr="7E666EC1">
        <w:rPr>
          <w:rFonts w:ascii="Arial" w:hAnsi="Arial" w:cs="Arial"/>
          <w:sz w:val="22"/>
          <w:szCs w:val="22"/>
        </w:rPr>
        <w:t>CD11b</w:t>
      </w:r>
      <w:r w:rsidRPr="7E666EC1">
        <w:rPr>
          <w:rFonts w:ascii="Cambria Math" w:hAnsi="Cambria Math" w:cs="Cambria Math"/>
          <w:sz w:val="22"/>
          <w:szCs w:val="22"/>
        </w:rPr>
        <w:t>⁺</w:t>
      </w:r>
      <w:r w:rsidRPr="7E666EC1">
        <w:rPr>
          <w:rFonts w:ascii="Arial" w:hAnsi="Arial" w:cs="Arial"/>
          <w:sz w:val="22"/>
          <w:szCs w:val="22"/>
        </w:rPr>
        <w:t>F4/80</w:t>
      </w:r>
      <w:r w:rsidRPr="7E666EC1">
        <w:rPr>
          <w:rFonts w:ascii="Cambria Math" w:hAnsi="Cambria Math" w:cs="Cambria Math"/>
          <w:sz w:val="22"/>
          <w:szCs w:val="22"/>
        </w:rPr>
        <w:t>⁺</w:t>
      </w:r>
      <w:r w:rsidRPr="7E666EC1">
        <w:rPr>
          <w:rFonts w:ascii="Arial" w:hAnsi="Arial" w:cs="Arial"/>
          <w:sz w:val="22"/>
          <w:szCs w:val="22"/>
        </w:rPr>
        <w:t xml:space="preserve">) and </w:t>
      </w:r>
      <w:r w:rsidRPr="7E666EC1">
        <w:rPr>
          <w:rFonts w:ascii="Arial" w:hAnsi="Arial" w:cs="Arial"/>
          <w:b/>
          <w:bCs/>
          <w:sz w:val="22"/>
          <w:szCs w:val="22"/>
        </w:rPr>
        <w:t>(C)</w:t>
      </w:r>
      <w:r w:rsidRPr="7E666EC1">
        <w:rPr>
          <w:rFonts w:ascii="Arial" w:hAnsi="Arial" w:cs="Arial"/>
          <w:sz w:val="22"/>
          <w:szCs w:val="22"/>
        </w:rPr>
        <w:t xml:space="preserve"> neutrophils</w:t>
      </w:r>
      <w:r w:rsidR="48FB206F" w:rsidRPr="7E666EC1">
        <w:rPr>
          <w:rFonts w:ascii="Arial" w:hAnsi="Arial" w:cs="Arial"/>
          <w:sz w:val="22"/>
          <w:szCs w:val="22"/>
        </w:rPr>
        <w:t xml:space="preserve"> (Live CD45+CD11b</w:t>
      </w:r>
      <w:r w:rsidR="00F74F76">
        <w:rPr>
          <w:rFonts w:ascii="Arial" w:hAnsi="Arial" w:cs="Arial"/>
          <w:sz w:val="22"/>
          <w:szCs w:val="22"/>
        </w:rPr>
        <w:t>+</w:t>
      </w:r>
      <w:r w:rsidR="48FB206F" w:rsidRPr="7E666EC1">
        <w:rPr>
          <w:rFonts w:ascii="Arial" w:hAnsi="Arial" w:cs="Arial"/>
          <w:sz w:val="22"/>
          <w:szCs w:val="22"/>
        </w:rPr>
        <w:t>Ly6G+)</w:t>
      </w:r>
      <w:r w:rsidRPr="7E666EC1">
        <w:rPr>
          <w:rFonts w:ascii="Arial" w:hAnsi="Arial" w:cs="Arial"/>
          <w:sz w:val="22"/>
          <w:szCs w:val="22"/>
        </w:rPr>
        <w:t xml:space="preserve">. </w:t>
      </w:r>
      <w:r w:rsidR="00F74F76" w:rsidRPr="00F74F76">
        <w:rPr>
          <w:rFonts w:ascii="Arial" w:hAnsi="Arial" w:cs="Arial"/>
          <w:sz w:val="22"/>
          <w:szCs w:val="22"/>
        </w:rPr>
        <w:t>Data are presented as mean ± SEM, with individual data points representing single animals. A single cohort of littermate-controlled animals was used. Statistical comparisons were performed using one-way ANOVA followed by Tukey’s post hoc test. Significance levels: *p &lt; 0.05, **p &lt; 0.01, ***p &lt; 0.001</w:t>
      </w:r>
      <w:r w:rsidR="00F74F76">
        <w:rPr>
          <w:rFonts w:ascii="Arial" w:hAnsi="Arial" w:cs="Arial"/>
          <w:sz w:val="22"/>
          <w:szCs w:val="22"/>
        </w:rPr>
        <w:t>.</w:t>
      </w:r>
    </w:p>
    <w:p w14:paraId="6E89D2E7" w14:textId="26F23513" w:rsidR="003B63CD" w:rsidRDefault="003B63CD" w:rsidP="003B63CD">
      <w:pPr>
        <w:contextualSpacing/>
        <w:rPr>
          <w:rFonts w:ascii="Arial" w:hAnsi="Arial" w:cs="Arial"/>
        </w:rPr>
      </w:pPr>
    </w:p>
    <w:p w14:paraId="386CCA3A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14C1D80D" w14:textId="77777777" w:rsidR="00950330" w:rsidRDefault="003B63CD" w:rsidP="00950330">
      <w:pPr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F8FCA55" wp14:editId="7DD74F8E">
            <wp:extent cx="4636017" cy="6092042"/>
            <wp:effectExtent l="0" t="0" r="0" b="0"/>
            <wp:docPr id="1750066052" name="Picture 3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066052" name="Picture 3" descr="A screenshot of a video gam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454" cy="61057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41FB4E" w14:textId="2CD006C1" w:rsidR="003B63CD" w:rsidRPr="00434D96" w:rsidRDefault="003B63CD" w:rsidP="00950330">
      <w:pPr>
        <w:contextualSpacing/>
        <w:rPr>
          <w:rFonts w:ascii="Arial" w:hAnsi="Arial" w:cs="Arial"/>
        </w:rPr>
      </w:pPr>
      <w:r w:rsidRPr="00434D96">
        <w:rPr>
          <w:rFonts w:ascii="Arial" w:hAnsi="Arial" w:cs="Arial"/>
          <w:b/>
          <w:bCs/>
        </w:rPr>
        <w:t>Figure S</w:t>
      </w:r>
      <w:r>
        <w:rPr>
          <w:rFonts w:ascii="Arial" w:hAnsi="Arial" w:cs="Arial"/>
          <w:b/>
          <w:bCs/>
        </w:rPr>
        <w:t>4</w:t>
      </w:r>
      <w:r w:rsidRPr="00434D96">
        <w:rPr>
          <w:rFonts w:ascii="Arial" w:hAnsi="Arial" w:cs="Arial"/>
          <w:b/>
          <w:bCs/>
        </w:rPr>
        <w:t xml:space="preserve">. CB1R and CB2R influence splenic cytokine expression and systemic inflammation in a colitis-associated model of </w:t>
      </w:r>
      <w:r w:rsidRPr="00434D96">
        <w:rPr>
          <w:rFonts w:ascii="Arial" w:hAnsi="Arial" w:cs="Arial"/>
          <w:b/>
          <w:bCs/>
          <w:i/>
          <w:iCs/>
        </w:rPr>
        <w:t>Salmonella</w:t>
      </w:r>
      <w:r w:rsidRPr="00434D96">
        <w:rPr>
          <w:rFonts w:ascii="Arial" w:hAnsi="Arial" w:cs="Arial"/>
          <w:b/>
          <w:bCs/>
        </w:rPr>
        <w:t xml:space="preserve"> infection.  </w:t>
      </w:r>
      <w:r w:rsidRPr="00434D96">
        <w:rPr>
          <w:rFonts w:ascii="Arial" w:hAnsi="Arial" w:cs="Arial"/>
        </w:rPr>
        <w:t xml:space="preserve">Wild-type (WT), CB1 receptor knockout (CB1R-KO), and CB2 receptor knockout (CB2R-KO) C57BL/6 mice were pretreated with streptomycin (20 mg/mouse, oral gavage) on day −1 and infected orally with </w:t>
      </w:r>
      <w:r w:rsidRPr="00434D96">
        <w:rPr>
          <w:rFonts w:ascii="Arial" w:hAnsi="Arial" w:cs="Arial"/>
          <w:i/>
          <w:iCs/>
        </w:rPr>
        <w:t>Salmonella enterica</w:t>
      </w:r>
      <w:r w:rsidRPr="00434D96">
        <w:rPr>
          <w:rFonts w:ascii="Arial" w:hAnsi="Arial" w:cs="Arial"/>
        </w:rPr>
        <w:t xml:space="preserve"> serovar Typhimurium (1 × 10⁸ CFU, strain 12023) on day 0.</w:t>
      </w:r>
      <w:r>
        <w:rPr>
          <w:rFonts w:ascii="Arial" w:hAnsi="Arial" w:cs="Arial"/>
        </w:rPr>
        <w:t xml:space="preserve"> </w:t>
      </w:r>
      <w:r w:rsidRPr="00434D96">
        <w:rPr>
          <w:rFonts w:ascii="Arial" w:hAnsi="Arial" w:cs="Arial"/>
          <w:b/>
          <w:bCs/>
        </w:rPr>
        <w:t>(A–B)</w:t>
      </w:r>
      <w:r w:rsidRPr="00434D96">
        <w:rPr>
          <w:rFonts w:ascii="Arial" w:hAnsi="Arial" w:cs="Arial"/>
        </w:rPr>
        <w:t xml:space="preserve"> Intracellular cytokine staining of splenic macrophages (CD45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>CD11b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>F4/80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 xml:space="preserve">) at 3 days post-infection (dpi), showing expression levels of </w:t>
      </w:r>
      <w:r w:rsidRPr="00434D96">
        <w:rPr>
          <w:rFonts w:ascii="Arial" w:hAnsi="Arial" w:cs="Arial"/>
          <w:b/>
          <w:bCs/>
        </w:rPr>
        <w:t xml:space="preserve">(A) </w:t>
      </w:r>
      <w:r w:rsidRPr="00434D96">
        <w:rPr>
          <w:rFonts w:ascii="Arial" w:hAnsi="Arial" w:cs="Arial"/>
        </w:rPr>
        <w:t xml:space="preserve">TGF-β and </w:t>
      </w:r>
      <w:r w:rsidRPr="00434D96">
        <w:rPr>
          <w:rFonts w:ascii="Arial" w:hAnsi="Arial" w:cs="Arial"/>
          <w:b/>
          <w:bCs/>
        </w:rPr>
        <w:t>(B</w:t>
      </w:r>
      <w:r w:rsidRPr="00434D96">
        <w:rPr>
          <w:rFonts w:ascii="Arial" w:hAnsi="Arial" w:cs="Arial"/>
        </w:rPr>
        <w:t>) IL-6 across genotypes.</w:t>
      </w:r>
      <w:r>
        <w:rPr>
          <w:rFonts w:ascii="Arial" w:hAnsi="Arial" w:cs="Arial"/>
        </w:rPr>
        <w:t xml:space="preserve"> </w:t>
      </w:r>
      <w:r w:rsidRPr="00434D96">
        <w:rPr>
          <w:rFonts w:ascii="Arial" w:hAnsi="Arial" w:cs="Arial"/>
          <w:b/>
          <w:bCs/>
        </w:rPr>
        <w:t>(C)</w:t>
      </w:r>
      <w:r w:rsidRPr="00434D96">
        <w:rPr>
          <w:rFonts w:ascii="Arial" w:hAnsi="Arial" w:cs="Arial"/>
        </w:rPr>
        <w:t xml:space="preserve"> Flow cytometry analysis of peripheral blood leukocytes at 2 dpi, quantifying the percentage of </w:t>
      </w:r>
      <w:r w:rsidRPr="00434D96">
        <w:rPr>
          <w:rFonts w:ascii="Arial" w:hAnsi="Arial" w:cs="Arial"/>
          <w:i/>
          <w:iCs/>
        </w:rPr>
        <w:t>Salmonella</w:t>
      </w:r>
      <w:r w:rsidRPr="00434D96">
        <w:rPr>
          <w:rFonts w:ascii="Arial" w:hAnsi="Arial" w:cs="Arial"/>
        </w:rPr>
        <w:t xml:space="preserve">-positive live cells. </w:t>
      </w:r>
      <w:r w:rsidRPr="00434D96">
        <w:rPr>
          <w:rFonts w:ascii="Arial" w:hAnsi="Arial" w:cs="Arial"/>
          <w:b/>
          <w:bCs/>
        </w:rPr>
        <w:t>(D)</w:t>
      </w:r>
      <w:r w:rsidRPr="00434D96">
        <w:rPr>
          <w:rFonts w:ascii="Arial" w:hAnsi="Arial" w:cs="Arial"/>
        </w:rPr>
        <w:t xml:space="preserve"> Frequency of circulating neutrophils (CD45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>CD11b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>Ly6G</w:t>
      </w:r>
      <w:r w:rsidRPr="00434D96">
        <w:rPr>
          <w:rFonts w:ascii="Cambria Math" w:hAnsi="Cambria Math" w:cs="Cambria Math"/>
        </w:rPr>
        <w:t>⁺</w:t>
      </w:r>
      <w:r w:rsidRPr="00434D96">
        <w:rPr>
          <w:rFonts w:ascii="Arial" w:hAnsi="Arial" w:cs="Arial"/>
        </w:rPr>
        <w:t>) in peripheral blood at 2 dpi.</w:t>
      </w:r>
      <w:r w:rsidR="00950330">
        <w:rPr>
          <w:rFonts w:ascii="Arial" w:hAnsi="Arial" w:cs="Arial"/>
        </w:rPr>
        <w:t xml:space="preserve"> </w:t>
      </w:r>
      <w:r w:rsidRPr="005F0A68">
        <w:rPr>
          <w:rFonts w:ascii="Arial" w:hAnsi="Arial" w:cs="Arial"/>
        </w:rPr>
        <w:t>Data are presented as mean ± SEM, with individual data points representing single animals. A single cohort of littermate-controlled animals was used. Statistical comparisons were performed using one-way ANOVA followed by Tukey’s post hoc test.</w:t>
      </w:r>
      <w:r w:rsidR="00950330">
        <w:rPr>
          <w:rFonts w:ascii="Arial" w:hAnsi="Arial" w:cs="Arial"/>
        </w:rPr>
        <w:t xml:space="preserve"> </w:t>
      </w:r>
      <w:r w:rsidRPr="00434D96">
        <w:rPr>
          <w:rFonts w:ascii="Arial" w:hAnsi="Arial" w:cs="Arial"/>
        </w:rPr>
        <w:t>Significance levels: *p &lt; 0.05, **p &lt; 0.01, ***p &lt; 0.001, ****p &lt; 0.0001.</w:t>
      </w:r>
    </w:p>
    <w:p w14:paraId="22DE94D6" w14:textId="77777777" w:rsidR="003B63CD" w:rsidRDefault="003B63CD" w:rsidP="003B63CD">
      <w:pPr>
        <w:contextualSpacing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283A1C4" wp14:editId="57C64335">
            <wp:extent cx="5901705" cy="4829388"/>
            <wp:effectExtent l="0" t="0" r="3810" b="0"/>
            <wp:docPr id="1031083981" name="Picture 4" descr="A screen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083981" name="Picture 4" descr="A screenshot of a graph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705" cy="482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4185A508" w14:textId="51696D88" w:rsidR="003B63CD" w:rsidRDefault="003B63CD" w:rsidP="003B63CD">
      <w:pPr>
        <w:contextualSpacing/>
        <w:rPr>
          <w:rFonts w:ascii="Arial" w:hAnsi="Arial" w:cs="Arial"/>
        </w:rPr>
      </w:pPr>
      <w:r w:rsidRPr="7E666EC1">
        <w:rPr>
          <w:rFonts w:ascii="Arial" w:hAnsi="Arial" w:cs="Arial"/>
          <w:b/>
          <w:bCs/>
        </w:rPr>
        <w:t>Figure S5.</w:t>
      </w:r>
      <w:r w:rsidRPr="7E666EC1">
        <w:rPr>
          <w:rFonts w:ascii="Arial" w:hAnsi="Arial" w:cs="Arial"/>
        </w:rPr>
        <w:t xml:space="preserve"> </w:t>
      </w:r>
      <w:r w:rsidRPr="7E666EC1">
        <w:rPr>
          <w:rFonts w:ascii="Arial" w:hAnsi="Arial" w:cs="Arial"/>
          <w:b/>
          <w:bCs/>
        </w:rPr>
        <w:t xml:space="preserve">Differential cytokine production by CB1R- and CB2R-deficient bone marrow–derived macrophages following </w:t>
      </w:r>
      <w:r w:rsidRPr="7E666EC1">
        <w:rPr>
          <w:rFonts w:ascii="Arial" w:hAnsi="Arial" w:cs="Arial"/>
          <w:b/>
          <w:bCs/>
          <w:i/>
          <w:iCs/>
        </w:rPr>
        <w:t>Salmonella</w:t>
      </w:r>
      <w:r w:rsidRPr="7E666EC1">
        <w:rPr>
          <w:rFonts w:ascii="Arial" w:hAnsi="Arial" w:cs="Arial"/>
          <w:b/>
          <w:bCs/>
        </w:rPr>
        <w:t xml:space="preserve"> infection. </w:t>
      </w:r>
      <w:r w:rsidRPr="7E666EC1">
        <w:rPr>
          <w:rFonts w:ascii="Arial" w:hAnsi="Arial" w:cs="Arial"/>
        </w:rPr>
        <w:t xml:space="preserve">Bone marrow–derived macrophages (BMDMs) were isolated from wild-type (WT), CB1 receptor knockout (CB1R-KO), and CB2 receptor knockout (CB2R-KO) mice and infected in vitro with </w:t>
      </w:r>
      <w:r w:rsidRPr="00821708">
        <w:rPr>
          <w:rFonts w:ascii="Arial" w:hAnsi="Arial" w:cs="Arial"/>
          <w:i/>
          <w:iCs/>
        </w:rPr>
        <w:t xml:space="preserve">Salmonella enterica </w:t>
      </w:r>
      <w:r w:rsidRPr="7E666EC1">
        <w:rPr>
          <w:rFonts w:ascii="Arial" w:hAnsi="Arial" w:cs="Arial"/>
        </w:rPr>
        <w:t>serovar Typhimurium (strain 12023) for 2 hours</w:t>
      </w:r>
      <w:r w:rsidRPr="7E666EC1">
        <w:rPr>
          <w:rFonts w:ascii="Arial" w:hAnsi="Arial" w:cs="Arial"/>
          <w:b/>
          <w:bCs/>
        </w:rPr>
        <w:t>. (A–C)</w:t>
      </w:r>
      <w:r w:rsidRPr="7E666EC1">
        <w:rPr>
          <w:rFonts w:ascii="Arial" w:hAnsi="Arial" w:cs="Arial"/>
        </w:rPr>
        <w:t xml:space="preserve"> </w:t>
      </w:r>
      <w:r w:rsidR="35855040" w:rsidRPr="7E666EC1">
        <w:rPr>
          <w:rFonts w:ascii="Arial" w:hAnsi="Arial" w:cs="Arial"/>
        </w:rPr>
        <w:t>F</w:t>
      </w:r>
      <w:r w:rsidRPr="7E666EC1">
        <w:rPr>
          <w:rFonts w:ascii="Arial" w:hAnsi="Arial" w:cs="Arial"/>
        </w:rPr>
        <w:t>low cytometry analysis of</w:t>
      </w:r>
      <w:r w:rsidR="74E7363F" w:rsidRPr="7E666EC1">
        <w:rPr>
          <w:rFonts w:ascii="Arial" w:hAnsi="Arial" w:cs="Arial"/>
        </w:rPr>
        <w:t xml:space="preserve"> intracellular</w:t>
      </w:r>
      <w:r w:rsidRPr="7E666EC1">
        <w:rPr>
          <w:rFonts w:ascii="Arial" w:hAnsi="Arial" w:cs="Arial"/>
        </w:rPr>
        <w:t xml:space="preserve"> TNF-α </w:t>
      </w:r>
      <w:r w:rsidRPr="7E666EC1">
        <w:rPr>
          <w:rFonts w:ascii="Arial" w:hAnsi="Arial" w:cs="Arial"/>
          <w:b/>
          <w:bCs/>
        </w:rPr>
        <w:t>(A),</w:t>
      </w:r>
      <w:r w:rsidRPr="7E666EC1">
        <w:rPr>
          <w:rFonts w:ascii="Arial" w:hAnsi="Arial" w:cs="Arial"/>
        </w:rPr>
        <w:t xml:space="preserve"> IL-6 </w:t>
      </w:r>
      <w:r w:rsidRPr="7E666EC1">
        <w:rPr>
          <w:rFonts w:ascii="Arial" w:hAnsi="Arial" w:cs="Arial"/>
          <w:b/>
          <w:bCs/>
        </w:rPr>
        <w:t>(B),</w:t>
      </w:r>
      <w:r w:rsidRPr="7E666EC1">
        <w:rPr>
          <w:rFonts w:ascii="Arial" w:hAnsi="Arial" w:cs="Arial"/>
        </w:rPr>
        <w:t xml:space="preserve"> and IFN-γ </w:t>
      </w:r>
      <w:r w:rsidRPr="7E666EC1">
        <w:rPr>
          <w:rFonts w:ascii="Arial" w:hAnsi="Arial" w:cs="Arial"/>
          <w:b/>
          <w:bCs/>
        </w:rPr>
        <w:t xml:space="preserve">(C) </w:t>
      </w:r>
      <w:r w:rsidRPr="7E666EC1">
        <w:rPr>
          <w:rFonts w:ascii="Arial" w:hAnsi="Arial" w:cs="Arial"/>
        </w:rPr>
        <w:t xml:space="preserve">expression in infected BMDMs across the three genotypes. </w:t>
      </w:r>
      <w:r w:rsidRPr="7E666EC1">
        <w:rPr>
          <w:rFonts w:ascii="Arial" w:hAnsi="Arial" w:cs="Arial"/>
          <w:b/>
          <w:bCs/>
        </w:rPr>
        <w:t>(D</w:t>
      </w:r>
      <w:r w:rsidRPr="7E666EC1">
        <w:rPr>
          <w:rFonts w:ascii="Arial" w:hAnsi="Arial" w:cs="Arial"/>
        </w:rPr>
        <w:t xml:space="preserve">) ELISA quantification of TNF-α levels in culture supernatants from infected BMDMs. </w:t>
      </w:r>
      <w:r w:rsidRPr="7E666EC1">
        <w:rPr>
          <w:rFonts w:ascii="Arial" w:hAnsi="Arial" w:cs="Arial"/>
          <w:b/>
          <w:bCs/>
        </w:rPr>
        <w:t>(E).</w:t>
      </w:r>
      <w:r w:rsidRPr="7E666EC1">
        <w:rPr>
          <w:rFonts w:ascii="Arial" w:hAnsi="Arial" w:cs="Arial"/>
        </w:rPr>
        <w:t xml:space="preserve"> Quantitative PCR analysis of </w:t>
      </w:r>
      <w:r w:rsidRPr="00D3161C">
        <w:rPr>
          <w:rFonts w:ascii="Arial" w:hAnsi="Arial" w:cs="Arial"/>
          <w:i/>
          <w:iCs/>
        </w:rPr>
        <w:t xml:space="preserve">Tlr4, Inos, Arg1, and </w:t>
      </w:r>
      <w:proofErr w:type="spellStart"/>
      <w:r w:rsidRPr="00D3161C">
        <w:rPr>
          <w:rFonts w:ascii="Arial" w:hAnsi="Arial" w:cs="Arial"/>
          <w:i/>
          <w:iCs/>
        </w:rPr>
        <w:t>Tnfa</w:t>
      </w:r>
      <w:proofErr w:type="spellEnd"/>
      <w:r w:rsidRPr="7E666EC1">
        <w:rPr>
          <w:rFonts w:ascii="Arial" w:hAnsi="Arial" w:cs="Arial"/>
        </w:rPr>
        <w:t xml:space="preserve"> mRNA expression in uninfected BMDMs from the indicated genotypes, assessing baseline transcriptional differences in innate immune mediators.</w:t>
      </w:r>
      <w:r w:rsidR="00D3161C">
        <w:rPr>
          <w:rFonts w:ascii="Arial" w:hAnsi="Arial" w:cs="Arial"/>
        </w:rPr>
        <w:t xml:space="preserve"> </w:t>
      </w:r>
      <w:r w:rsidRPr="004A2064">
        <w:rPr>
          <w:rFonts w:ascii="Arial" w:hAnsi="Arial" w:cs="Arial"/>
        </w:rPr>
        <w:t>Data represent mean ± SEM, with individual points indicating biological replicates from independent mice. Statistical comparisons were performed using one-way ANOVA followed by Tukey’s post hoc test.</w:t>
      </w:r>
      <w:r>
        <w:rPr>
          <w:rFonts w:ascii="Arial" w:hAnsi="Arial" w:cs="Arial"/>
        </w:rPr>
        <w:t xml:space="preserve"> </w:t>
      </w:r>
      <w:r w:rsidRPr="004A2064">
        <w:rPr>
          <w:rFonts w:ascii="Arial" w:hAnsi="Arial" w:cs="Arial"/>
        </w:rPr>
        <w:t>Significance: *p &lt; 0.05, **p &lt; 0.01, ***p &lt; 0.001.</w:t>
      </w:r>
    </w:p>
    <w:p w14:paraId="3F18F341" w14:textId="77777777" w:rsidR="003B63CD" w:rsidRDefault="003B63CD" w:rsidP="003B63CD">
      <w:pPr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DE49CCC" wp14:editId="5CE28590">
            <wp:extent cx="4790492" cy="3309884"/>
            <wp:effectExtent l="0" t="0" r="0" b="5080"/>
            <wp:docPr id="595090301" name="Picture 14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090301" name="Picture 14" descr="A screen shot of a graph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23" b="27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734" cy="331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38EC2A" w14:textId="77777777" w:rsidR="003B63CD" w:rsidRPr="00434D96" w:rsidRDefault="003B63CD" w:rsidP="003B63CD">
      <w:pPr>
        <w:spacing w:after="80"/>
        <w:contextualSpacing/>
        <w:rPr>
          <w:rFonts w:ascii="Arial" w:hAnsi="Arial" w:cs="Arial"/>
        </w:rPr>
      </w:pPr>
      <w:r w:rsidRPr="00F802B3">
        <w:rPr>
          <w:rFonts w:ascii="Arial" w:hAnsi="Arial" w:cs="Arial"/>
          <w:b/>
        </w:rPr>
        <w:t>Figure S</w:t>
      </w:r>
      <w:r>
        <w:rPr>
          <w:rFonts w:ascii="Arial" w:hAnsi="Arial" w:cs="Arial"/>
          <w:b/>
        </w:rPr>
        <w:t>6</w:t>
      </w:r>
      <w:r w:rsidRPr="00F802B3">
        <w:rPr>
          <w:rFonts w:ascii="Arial" w:hAnsi="Arial" w:cs="Arial"/>
          <w:b/>
        </w:rPr>
        <w:t>. Principal Coordinates Analysis (</w:t>
      </w:r>
      <w:proofErr w:type="spellStart"/>
      <w:r w:rsidRPr="00F802B3">
        <w:rPr>
          <w:rFonts w:ascii="Arial" w:hAnsi="Arial" w:cs="Arial"/>
          <w:b/>
        </w:rPr>
        <w:t>PCoA</w:t>
      </w:r>
      <w:proofErr w:type="spellEnd"/>
      <w:r w:rsidRPr="00F802B3">
        <w:rPr>
          <w:rFonts w:ascii="Arial" w:hAnsi="Arial" w:cs="Arial"/>
          <w:b/>
        </w:rPr>
        <w:t>) of microbial community composition.</w:t>
      </w:r>
      <w:r>
        <w:rPr>
          <w:rFonts w:ascii="Arial" w:hAnsi="Arial" w:cs="Arial"/>
        </w:rPr>
        <w:t xml:space="preserve">  </w:t>
      </w:r>
      <w:proofErr w:type="spellStart"/>
      <w:r w:rsidRPr="00F802B3">
        <w:rPr>
          <w:rFonts w:ascii="Arial" w:hAnsi="Arial" w:cs="Arial"/>
        </w:rPr>
        <w:t>PCoA</w:t>
      </w:r>
      <w:proofErr w:type="spellEnd"/>
      <w:r w:rsidRPr="00F802B3">
        <w:rPr>
          <w:rFonts w:ascii="Arial" w:hAnsi="Arial" w:cs="Arial"/>
        </w:rPr>
        <w:t xml:space="preserve"> was performed using Bray–</w:t>
      </w:r>
      <w:proofErr w:type="gramStart"/>
      <w:r w:rsidRPr="00F802B3">
        <w:rPr>
          <w:rFonts w:ascii="Arial" w:hAnsi="Arial" w:cs="Arial"/>
        </w:rPr>
        <w:t>Curtis</w:t>
      </w:r>
      <w:proofErr w:type="gramEnd"/>
      <w:r w:rsidRPr="00F802B3">
        <w:rPr>
          <w:rFonts w:ascii="Arial" w:hAnsi="Arial" w:cs="Arial"/>
        </w:rPr>
        <w:t xml:space="preserve"> dissimilarity to assess beta diversity across four experimental groups: wild-type (WT), CB1 receptor knockout (CB1R-KO), and CB2 receptor knockout (CB2R-KO) mice and infected or not with </w:t>
      </w:r>
      <w:r w:rsidRPr="00F802B3">
        <w:rPr>
          <w:rFonts w:ascii="Arial" w:hAnsi="Arial" w:cs="Arial"/>
          <w:i/>
        </w:rPr>
        <w:t xml:space="preserve">Salmonella </w:t>
      </w:r>
      <w:r w:rsidRPr="00F802B3">
        <w:rPr>
          <w:rFonts w:ascii="Arial" w:hAnsi="Arial" w:cs="Arial"/>
        </w:rPr>
        <w:t>Typhimurium</w:t>
      </w:r>
      <w:r w:rsidRPr="00F802B3">
        <w:rPr>
          <w:rFonts w:ascii="Arial" w:hAnsi="Arial" w:cs="Arial"/>
          <w:i/>
        </w:rPr>
        <w:t xml:space="preserve">. </w:t>
      </w:r>
      <w:r w:rsidRPr="00F802B3">
        <w:rPr>
          <w:rFonts w:ascii="Arial" w:hAnsi="Arial" w:cs="Arial"/>
        </w:rPr>
        <w:t>Each point repre</w:t>
      </w:r>
      <w:r w:rsidRPr="00434D96">
        <w:rPr>
          <w:rFonts w:ascii="Arial" w:hAnsi="Arial" w:cs="Arial"/>
        </w:rPr>
        <w:t>sents the microbial profile of one sample. Ellipses indicate 95% confidence intervals for each group. Axes represent the first two principal coordinates, explaining 41.6% and 26.8% of the total variance, respectively. PERMANOVA analysis showed significant differences in community composition between CB1R-KO baseline and CB1R-KO infected samples (R² = 0.53, p = 0.032), but no significant differences between other groups (p &gt; 0.05).</w:t>
      </w:r>
    </w:p>
    <w:p w14:paraId="11C8E226" w14:textId="77777777" w:rsidR="003B63CD" w:rsidRPr="00F802B3" w:rsidRDefault="003B63CD" w:rsidP="003B63CD">
      <w:pPr>
        <w:spacing w:after="160"/>
        <w:contextualSpacing/>
        <w:rPr>
          <w:rFonts w:ascii="Arial" w:hAnsi="Arial" w:cs="Arial"/>
        </w:rPr>
      </w:pPr>
      <w:r w:rsidRPr="6DB29912">
        <w:rPr>
          <w:rFonts w:ascii="Arial" w:hAnsi="Arial" w:cs="Arial"/>
        </w:rPr>
        <w:br w:type="page"/>
      </w:r>
    </w:p>
    <w:p w14:paraId="62988BF1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113D88FA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00BC8BEE" w14:textId="77777777" w:rsidR="003B63CD" w:rsidRDefault="003B63CD" w:rsidP="003B63CD">
      <w:pPr>
        <w:contextualSpacing/>
        <w:rPr>
          <w:rFonts w:ascii="Arial" w:hAnsi="Arial" w:cs="Arial"/>
        </w:rPr>
      </w:pPr>
    </w:p>
    <w:p w14:paraId="5C50EA46" w14:textId="3326599E" w:rsidR="003B63CD" w:rsidRDefault="003B63CD" w:rsidP="003B63CD">
      <w:pPr>
        <w:contextualSpacing/>
        <w:rPr>
          <w:rFonts w:ascii="Arial" w:hAnsi="Arial" w:cs="Arial"/>
        </w:rPr>
      </w:pPr>
    </w:p>
    <w:p w14:paraId="27385DD8" w14:textId="3E9AA62D" w:rsidR="003B63CD" w:rsidRDefault="007C0BB1" w:rsidP="003B63CD">
      <w:pPr>
        <w:contextualSpacing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43DF111" wp14:editId="2C95254D">
            <wp:extent cx="6034897" cy="3040656"/>
            <wp:effectExtent l="0" t="0" r="4445" b="7620"/>
            <wp:docPr id="10205751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" r="1" b="2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606" cy="3044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74E150" w14:textId="77777777" w:rsidR="003B63CD" w:rsidRPr="00AF1E5C" w:rsidRDefault="003B63CD" w:rsidP="003B63CD">
      <w:pPr>
        <w:contextualSpacing/>
        <w:rPr>
          <w:rFonts w:ascii="Arial" w:hAnsi="Arial" w:cs="Arial"/>
        </w:rPr>
      </w:pPr>
      <w:r w:rsidRPr="00140E31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S7</w:t>
      </w:r>
      <w:r w:rsidRPr="00140E31">
        <w:rPr>
          <w:rFonts w:ascii="Arial" w:hAnsi="Arial" w:cs="Arial"/>
          <w:b/>
          <w:bCs/>
        </w:rPr>
        <w:t>. Baseline gut microbiota composition differs between CB2R-KO and WT mice.</w:t>
      </w:r>
      <w:r>
        <w:rPr>
          <w:rFonts w:ascii="Arial" w:hAnsi="Arial" w:cs="Arial"/>
          <w:b/>
          <w:bCs/>
        </w:rPr>
        <w:t xml:space="preserve"> </w:t>
      </w:r>
      <w:r w:rsidRPr="00140E31">
        <w:rPr>
          <w:rFonts w:ascii="Arial" w:hAnsi="Arial" w:cs="Arial"/>
        </w:rPr>
        <w:t>Differential abundance analysis of microbial taxa in CB2R knockout (CB2R-KO) and wild-type (WT) mice at baseline (pre-infection).</w:t>
      </w:r>
      <w:r>
        <w:rPr>
          <w:rFonts w:ascii="Arial" w:hAnsi="Arial" w:cs="Arial"/>
          <w:b/>
          <w:bCs/>
        </w:rPr>
        <w:t xml:space="preserve"> </w:t>
      </w:r>
      <w:r w:rsidRPr="00140E31">
        <w:rPr>
          <w:rFonts w:ascii="Arial" w:hAnsi="Arial" w:cs="Arial"/>
        </w:rPr>
        <w:t>Blue bars indicate taxa significantly enriched in CB2R-KO mice, while red bars indicate enrichment in WT mice.</w:t>
      </w:r>
      <w:r>
        <w:rPr>
          <w:rFonts w:ascii="Arial" w:hAnsi="Arial" w:cs="Arial"/>
          <w:b/>
          <w:bCs/>
        </w:rPr>
        <w:t xml:space="preserve"> </w:t>
      </w:r>
      <w:r w:rsidRPr="00140E31">
        <w:rPr>
          <w:rFonts w:ascii="Arial" w:hAnsi="Arial" w:cs="Arial"/>
        </w:rPr>
        <w:t>The length of each bar corresponds to the effect size, and the circle size represents -log10(p-value), reflecting the statistical significance of the difference.</w:t>
      </w:r>
      <w:r>
        <w:rPr>
          <w:rFonts w:ascii="Arial" w:hAnsi="Arial" w:cs="Arial"/>
          <w:b/>
          <w:bCs/>
        </w:rPr>
        <w:t xml:space="preserve"> </w:t>
      </w:r>
      <w:r w:rsidRPr="00140E31">
        <w:rPr>
          <w:rFonts w:ascii="Arial" w:hAnsi="Arial" w:cs="Arial"/>
        </w:rPr>
        <w:t>Microbial taxa shown met a significance threshold</w:t>
      </w:r>
      <w:r w:rsidRPr="00BB5D30">
        <w:rPr>
          <w:rFonts w:ascii="Arial" w:hAnsi="Arial" w:cs="Arial"/>
        </w:rPr>
        <w:t>.</w:t>
      </w:r>
    </w:p>
    <w:p w14:paraId="4340551D" w14:textId="77777777" w:rsidR="007C0BB1" w:rsidRDefault="007C0BB1" w:rsidP="008F5306">
      <w:pPr>
        <w:spacing w:after="80"/>
        <w:rPr>
          <w:rFonts w:ascii="Arial" w:hAnsi="Arial" w:cs="Arial"/>
          <w:b/>
          <w:bCs/>
        </w:rPr>
      </w:pPr>
    </w:p>
    <w:p w14:paraId="3AAF1950" w14:textId="77777777" w:rsidR="007C0BB1" w:rsidRDefault="007C0BB1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A403D04" w14:textId="4FEFB993" w:rsidR="008F5306" w:rsidRPr="00574292" w:rsidRDefault="003131B8" w:rsidP="008F5306">
      <w:pPr>
        <w:spacing w:after="80"/>
        <w:rPr>
          <w:rFonts w:ascii="Arial" w:hAnsi="Arial" w:cs="Arial"/>
          <w:b/>
          <w:bCs/>
        </w:rPr>
      </w:pPr>
      <w:r w:rsidRPr="00574292">
        <w:rPr>
          <w:rFonts w:ascii="Arial" w:hAnsi="Arial" w:cs="Arial"/>
          <w:b/>
          <w:bCs/>
        </w:rPr>
        <w:lastRenderedPageBreak/>
        <w:t>Supplementary tables</w:t>
      </w:r>
    </w:p>
    <w:p w14:paraId="6B8FDCFA" w14:textId="77777777" w:rsidR="0063533D" w:rsidRDefault="0063533D" w:rsidP="008F5306">
      <w:pPr>
        <w:spacing w:after="80"/>
        <w:rPr>
          <w:rFonts w:ascii="Arial" w:hAnsi="Arial" w:cs="Arial"/>
          <w:b/>
          <w:bCs/>
        </w:rPr>
      </w:pPr>
    </w:p>
    <w:p w14:paraId="431CE096" w14:textId="77777777" w:rsidR="0063533D" w:rsidRDefault="0063533D" w:rsidP="008F5306">
      <w:pPr>
        <w:spacing w:after="80"/>
        <w:rPr>
          <w:rFonts w:ascii="Arial" w:hAnsi="Arial" w:cs="Arial"/>
          <w:b/>
          <w:bCs/>
        </w:rPr>
      </w:pPr>
    </w:p>
    <w:p w14:paraId="1F6E0EED" w14:textId="77777777" w:rsidR="00950330" w:rsidRDefault="00950330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80FEC2B" w14:textId="584663C3" w:rsidR="003131B8" w:rsidRPr="00574292" w:rsidRDefault="00FE2C9D" w:rsidP="008F5306">
      <w:pPr>
        <w:spacing w:after="80"/>
        <w:rPr>
          <w:rFonts w:ascii="Arial" w:hAnsi="Arial" w:cs="Arial"/>
        </w:rPr>
      </w:pPr>
      <w:r w:rsidRPr="00574292">
        <w:rPr>
          <w:rFonts w:ascii="Arial" w:hAnsi="Arial" w:cs="Arial"/>
          <w:b/>
          <w:bCs/>
        </w:rPr>
        <w:lastRenderedPageBreak/>
        <w:t xml:space="preserve">Table S1. Differential gut microbiota in uninfected CB2R-KO mice compared to wild-type (WT) controls. </w:t>
      </w:r>
      <w:r w:rsidR="00733510" w:rsidRPr="00574292">
        <w:rPr>
          <w:rFonts w:ascii="Arial" w:hAnsi="Arial" w:cs="Arial"/>
        </w:rPr>
        <w:t>Differentially abundant microbial species between CB2R knockout (CB2R-KO) and WT mice under uninfected conditions, based on statistical analysis of relative abundance (showing only species with p-values &lt; 0.05). Positive effect sizes indicate higher abundance in WT mice, while negative values indicate lower abundance in WT mice (i.e., enrichment in CB2R-KO mice). P-values were calculated using appropriate statistical methods for compositional microbiome data.</w:t>
      </w:r>
    </w:p>
    <w:p w14:paraId="6D4FBC6A" w14:textId="77777777" w:rsidR="00EC3B20" w:rsidRPr="00574292" w:rsidRDefault="00EC3B20" w:rsidP="008F5306">
      <w:pPr>
        <w:spacing w:after="80"/>
        <w:rPr>
          <w:rFonts w:ascii="Arial" w:hAnsi="Arial" w:cs="Arial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2100"/>
        <w:gridCol w:w="1770"/>
        <w:gridCol w:w="4129"/>
      </w:tblGrid>
      <w:tr w:rsidR="00DF7A9B" w:rsidRPr="007625F2" w14:paraId="559DD714" w14:textId="77777777" w:rsidTr="003C0C1B">
        <w:trPr>
          <w:trHeight w:val="304"/>
          <w:tblHeader/>
        </w:trPr>
        <w:tc>
          <w:tcPr>
            <w:tcW w:w="21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4C6E42F9" w14:textId="706D52D2" w:rsidR="003E5ACF" w:rsidRPr="007625F2" w:rsidRDefault="00C471E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</w:t>
            </w:r>
            <w:r w:rsidR="003E5ACF" w:rsidRPr="007625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ffect</w:t>
            </w:r>
          </w:p>
        </w:tc>
        <w:tc>
          <w:tcPr>
            <w:tcW w:w="17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3D0C280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12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166902D1" w14:textId="3CA7B6D5" w:rsidR="003E5ACF" w:rsidRPr="007625F2" w:rsidRDefault="00C471EE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</w:t>
            </w:r>
            <w:r w:rsidR="003E5ACF" w:rsidRPr="007625F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pecies</w:t>
            </w:r>
          </w:p>
        </w:tc>
      </w:tr>
      <w:tr w:rsidR="00441F36" w:rsidRPr="007625F2" w14:paraId="7509DB63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50FB3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2.09461301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C2953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0.016419942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E270A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Lacticaseibacillus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casei</w:t>
            </w:r>
          </w:p>
        </w:tc>
      </w:tr>
      <w:tr w:rsidR="00441F36" w:rsidRPr="007625F2" w14:paraId="52C68819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3261C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1.9500251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DE9A4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0.023590036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D0DD4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borealis</w:t>
            </w:r>
          </w:p>
        </w:tc>
      </w:tr>
      <w:tr w:rsidR="00441F36" w:rsidRPr="007625F2" w14:paraId="7632D9D9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5FF89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1.9279183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D11DC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0.019063603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6F985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Anaerolinea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thermophila</w:t>
            </w:r>
            <w:proofErr w:type="spellEnd"/>
          </w:p>
        </w:tc>
      </w:tr>
      <w:tr w:rsidR="00441F36" w:rsidRPr="007625F2" w14:paraId="2B1B9CF9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DC612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1.91716869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C87F0C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0.020523527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2DEE4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Occultella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kanbiaonis</w:t>
            </w:r>
            <w:proofErr w:type="spellEnd"/>
          </w:p>
        </w:tc>
      </w:tr>
      <w:tr w:rsidR="00441F36" w:rsidRPr="007625F2" w14:paraId="2288B1E3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61BB3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1.88795722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5941F9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0.014631822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44980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konkukensis</w:t>
            </w:r>
            <w:proofErr w:type="spellEnd"/>
          </w:p>
        </w:tc>
      </w:tr>
      <w:tr w:rsidR="00441F36" w:rsidRPr="007625F2" w14:paraId="2D003C46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1D2289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1.88280659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C2D02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0.019200332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B7BDF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Symbiobacterium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thermophilum</w:t>
            </w:r>
            <w:proofErr w:type="spellEnd"/>
          </w:p>
        </w:tc>
      </w:tr>
      <w:tr w:rsidR="00441F36" w:rsidRPr="007625F2" w14:paraId="40F3C773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15071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1.86365563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BE105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0.023671723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86A84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Micromonospora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krabiensis</w:t>
            </w:r>
            <w:proofErr w:type="spellEnd"/>
          </w:p>
        </w:tc>
      </w:tr>
      <w:tr w:rsidR="00441F36" w:rsidRPr="007625F2" w14:paraId="23D4E7CB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375E1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1.84733133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20A37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0.01939435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2BFEA6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Candidatus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Promineofilum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breve</w:t>
            </w:r>
          </w:p>
        </w:tc>
      </w:tr>
      <w:tr w:rsidR="00441F36" w:rsidRPr="007625F2" w14:paraId="3936E4FB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CD272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1.84499514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638C76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0.018978666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10526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ihbetae</w:t>
            </w:r>
            <w:proofErr w:type="spellEnd"/>
          </w:p>
        </w:tc>
      </w:tr>
      <w:tr w:rsidR="00441F36" w:rsidRPr="007625F2" w14:paraId="490C5766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FB52A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1.72230061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9F29A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0.032593127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0E136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Microbacterium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fandaimingii</w:t>
            </w:r>
            <w:proofErr w:type="spellEnd"/>
          </w:p>
        </w:tc>
      </w:tr>
      <w:tr w:rsidR="00441F36" w:rsidRPr="007625F2" w14:paraId="18F3150F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81C83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1.70368267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EB7A0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0.026260831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B4CB9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Bulleidia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zg-1006</w:t>
            </w:r>
          </w:p>
        </w:tc>
      </w:tr>
      <w:tr w:rsidR="00441F36" w:rsidRPr="007625F2" w14:paraId="65A5D1D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7BA99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1.66588914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25776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0.028250136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62355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Paremcibacter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congregatus</w:t>
            </w:r>
            <w:proofErr w:type="spellEnd"/>
          </w:p>
        </w:tc>
      </w:tr>
      <w:tr w:rsidR="00441F36" w:rsidRPr="007625F2" w14:paraId="6EEBA99F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6F8FD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1.64872739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ED7B6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0.023929813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A2F70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Paraburkholderia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sprentiae</w:t>
            </w:r>
            <w:proofErr w:type="spellEnd"/>
          </w:p>
        </w:tc>
      </w:tr>
      <w:tr w:rsidR="00441F36" w:rsidRPr="007625F2" w14:paraId="62FE084B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D7300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1.59599263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5B1CC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0.033633309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6C68D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Geobacillus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genomosp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. 3</w:t>
            </w:r>
          </w:p>
        </w:tc>
      </w:tr>
      <w:tr w:rsidR="00441F36" w:rsidRPr="007625F2" w14:paraId="7162B0D1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91147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1.54589672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C9FBC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0.037769798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CDF5F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Terrisporobacter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MCA3</w:t>
            </w:r>
          </w:p>
        </w:tc>
      </w:tr>
      <w:tr w:rsidR="00441F36" w:rsidRPr="007625F2" w14:paraId="0403472B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262DD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1.53952654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B8C0B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0.035104282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C5BD7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Plantactinospora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KBS50</w:t>
            </w:r>
          </w:p>
        </w:tc>
      </w:tr>
      <w:tr w:rsidR="00441F36" w:rsidRPr="007625F2" w14:paraId="38629E4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CDFFA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1.52528588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D6A5D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0.03567719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A58EC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Vibrio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quintilis</w:t>
            </w:r>
            <w:proofErr w:type="spellEnd"/>
          </w:p>
        </w:tc>
      </w:tr>
      <w:tr w:rsidR="00441F36" w:rsidRPr="007625F2" w14:paraId="7E291675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5E5ED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1.47687768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69F4B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0.030364217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DCEAD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Mycolicibacterium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hassiacum</w:t>
            </w:r>
            <w:proofErr w:type="spellEnd"/>
          </w:p>
        </w:tc>
      </w:tr>
      <w:tr w:rsidR="00441F36" w:rsidRPr="007625F2" w14:paraId="0CBD4DDA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4F9219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1.45716909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A48BD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0.040074024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95B13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Salinibacterium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hongtaonis</w:t>
            </w:r>
            <w:proofErr w:type="spellEnd"/>
          </w:p>
        </w:tc>
      </w:tr>
      <w:tr w:rsidR="00441F36" w:rsidRPr="007625F2" w14:paraId="0BEB81B9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604BC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1.41077893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4727B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0.044905514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CB9A4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[Clostridium]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spiroforme</w:t>
            </w:r>
            <w:proofErr w:type="spellEnd"/>
          </w:p>
        </w:tc>
      </w:tr>
      <w:tr w:rsidR="00441F36" w:rsidRPr="007625F2" w14:paraId="59290BE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DC527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1.40738619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53E11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0.040194609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EFFF7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Brevibacillus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composti</w:t>
            </w:r>
            <w:proofErr w:type="spellEnd"/>
          </w:p>
        </w:tc>
      </w:tr>
      <w:tr w:rsidR="00441F36" w:rsidRPr="007625F2" w14:paraId="57F740C7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BA0D8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1.40593884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A6F7B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0.043339715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7A46B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Photorhabdus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asymbiotica</w:t>
            </w:r>
            <w:proofErr w:type="spellEnd"/>
          </w:p>
        </w:tc>
      </w:tr>
      <w:tr w:rsidR="00441F36" w:rsidRPr="007625F2" w14:paraId="14D690DC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7D06F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1.37653862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80B7B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0.046304981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5226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Nocardioides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daphniae</w:t>
            </w:r>
            <w:proofErr w:type="spellEnd"/>
          </w:p>
        </w:tc>
      </w:tr>
      <w:tr w:rsidR="00441F36" w:rsidRPr="007625F2" w14:paraId="6AF9DCBD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7FF28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1.34053808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8918F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0.042288714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906ED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Olsenella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timonensis</w:t>
            </w:r>
            <w:proofErr w:type="spellEnd"/>
          </w:p>
        </w:tc>
      </w:tr>
      <w:tr w:rsidR="00441F36" w:rsidRPr="007625F2" w14:paraId="33F83D00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96314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1.3024732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EE2D8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0.046600946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54F2E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Brevibacillus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WF146</w:t>
            </w:r>
          </w:p>
        </w:tc>
      </w:tr>
      <w:tr w:rsidR="00441F36" w:rsidRPr="007625F2" w14:paraId="248A15F7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48E6D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1.30215058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CBB42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0.044381311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CACF9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R14(2021)</w:t>
            </w:r>
          </w:p>
        </w:tc>
      </w:tr>
      <w:tr w:rsidR="00441F36" w:rsidRPr="007625F2" w14:paraId="126720CE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797D3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1.29882132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C5BB0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0.048931478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A54579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Enterococcus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raffinosus</w:t>
            </w:r>
            <w:proofErr w:type="spellEnd"/>
          </w:p>
        </w:tc>
      </w:tr>
      <w:tr w:rsidR="00441F36" w:rsidRPr="007625F2" w14:paraId="25DC74C5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623D4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1.29705911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D4A5D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0.047515001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EB81B9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Rhodanobacter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FDAARGOS 1247</w:t>
            </w:r>
          </w:p>
        </w:tc>
      </w:tr>
      <w:tr w:rsidR="00441F36" w:rsidRPr="007625F2" w14:paraId="03759CBF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7865E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1.27970949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E9716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0.047243162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B0889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Clostridium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manihotivorum</w:t>
            </w:r>
            <w:proofErr w:type="spellEnd"/>
          </w:p>
        </w:tc>
      </w:tr>
      <w:tr w:rsidR="00441F36" w:rsidRPr="007625F2" w14:paraId="233FE93D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0AF73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-1.3248141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BB032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0.038874446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74A08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Streptomyces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nitrosporeus</w:t>
            </w:r>
            <w:proofErr w:type="spellEnd"/>
          </w:p>
        </w:tc>
      </w:tr>
      <w:tr w:rsidR="00441F36" w:rsidRPr="007625F2" w14:paraId="64BE6260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E37C7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-1.3570921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2B8B2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0.049189491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85EC1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Mesotoga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infera</w:t>
            </w:r>
            <w:proofErr w:type="spellEnd"/>
          </w:p>
        </w:tc>
      </w:tr>
      <w:tr w:rsidR="00441F36" w:rsidRPr="007625F2" w14:paraId="3F7059EE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D0F60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-1.3631185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7B861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0.042929954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D423D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Bradyrhizobium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sp. ORS 278</w:t>
            </w:r>
          </w:p>
        </w:tc>
      </w:tr>
      <w:tr w:rsidR="00441F36" w:rsidRPr="007625F2" w14:paraId="456C9D46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36E35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-1.409225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BC5F5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0.045011988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A170A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Histophilus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somni</w:t>
            </w:r>
            <w:proofErr w:type="spellEnd"/>
          </w:p>
        </w:tc>
      </w:tr>
      <w:tr w:rsidR="00441F36" w:rsidRPr="007625F2" w14:paraId="7533476A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DA6D0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-1.4459969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94B2C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0.048496804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9A657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Campylobacter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upsaliensis</w:t>
            </w:r>
            <w:proofErr w:type="spellEnd"/>
          </w:p>
        </w:tc>
      </w:tr>
      <w:tr w:rsidR="00441F36" w:rsidRPr="007625F2" w14:paraId="1FBE9CE3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47AEC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-1.4642281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082F0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0.040955847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01F91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Clostridium sp. JN-9</w:t>
            </w:r>
          </w:p>
        </w:tc>
      </w:tr>
      <w:tr w:rsidR="00441F36" w:rsidRPr="007625F2" w14:paraId="3C5FAC5C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9571A6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-1.4653563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35EE8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0.047587962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E0DA42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Thermomonas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carbonis</w:t>
            </w:r>
            <w:proofErr w:type="spellEnd"/>
          </w:p>
        </w:tc>
      </w:tr>
      <w:tr w:rsidR="00441F36" w:rsidRPr="007625F2" w14:paraId="0EC47662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641BB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-1.6275485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89051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0.037155851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951E9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Polaribacter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cellanae</w:t>
            </w:r>
            <w:proofErr w:type="spellEnd"/>
          </w:p>
        </w:tc>
      </w:tr>
      <w:tr w:rsidR="00441F36" w:rsidRPr="007625F2" w14:paraId="5D6BAB8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FE3F0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-1.6750265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C5D16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0.023986638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003E8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Anaerohalosphaera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lusitana</w:t>
            </w:r>
            <w:proofErr w:type="spellEnd"/>
          </w:p>
        </w:tc>
      </w:tr>
      <w:tr w:rsidR="00441F36" w:rsidRPr="007625F2" w14:paraId="6D39731F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9FC51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-1.6751416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57D60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0.031530908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BB5F07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Haemophilus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influenzae</w:t>
            </w:r>
          </w:p>
        </w:tc>
      </w:tr>
      <w:tr w:rsidR="00441F36" w:rsidRPr="007625F2" w14:paraId="508723AD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025576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-1.6853897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956A9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0.031918984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2794D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Kineobactrum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salinum</w:t>
            </w:r>
            <w:proofErr w:type="spellEnd"/>
          </w:p>
        </w:tc>
      </w:tr>
      <w:tr w:rsidR="00441F36" w:rsidRPr="007625F2" w14:paraId="739BBCFA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7076A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-1.6954616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8466C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0.035341574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674A56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Mycoplasma sp. 1018B</w:t>
            </w:r>
          </w:p>
        </w:tc>
      </w:tr>
      <w:tr w:rsidR="00441F36" w:rsidRPr="007625F2" w14:paraId="4E11588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ADA6DA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-1.7417026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E6BF8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0.020090427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4F739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Treponema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peruense</w:t>
            </w:r>
            <w:proofErr w:type="spellEnd"/>
          </w:p>
        </w:tc>
      </w:tr>
      <w:tr w:rsidR="00441F36" w:rsidRPr="007625F2" w14:paraId="61B07AB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7DADCD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-1.7678427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814FE4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0.044641191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5E29D12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Metamycoplasma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phocicerebrale</w:t>
            </w:r>
            <w:proofErr w:type="spellEnd"/>
          </w:p>
        </w:tc>
      </w:tr>
      <w:tr w:rsidR="00441F36" w:rsidRPr="007625F2" w14:paraId="2A8CCA87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6029F3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-1.8453395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3631F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0.048982214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27664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Aurantimicrobium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photophilum</w:t>
            </w:r>
            <w:proofErr w:type="spellEnd"/>
          </w:p>
        </w:tc>
      </w:tr>
      <w:tr w:rsidR="00441F36" w:rsidRPr="007625F2" w14:paraId="28AEDE59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42711C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-1.8913793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FA37BB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0.025504946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38E4D0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Streptococcus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oralis</w:t>
            </w:r>
            <w:proofErr w:type="spellEnd"/>
          </w:p>
        </w:tc>
      </w:tr>
      <w:tr w:rsidR="00441F36" w:rsidRPr="007625F2" w14:paraId="6E63C324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94CD8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-1.8980907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9E9688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0.024776446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019FFF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Ephemeroptericola</w:t>
            </w:r>
            <w:proofErr w:type="spellEnd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cinctiostellae</w:t>
            </w:r>
            <w:proofErr w:type="spellEnd"/>
          </w:p>
        </w:tc>
      </w:tr>
      <w:tr w:rsidR="00DF7A9B" w:rsidRPr="007625F2" w14:paraId="43FD3D26" w14:textId="77777777" w:rsidTr="003E5ACF">
        <w:trPr>
          <w:trHeight w:val="318"/>
        </w:trPr>
        <w:tc>
          <w:tcPr>
            <w:tcW w:w="210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04423431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-1.950164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7AD8F5DE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color w:val="000000"/>
                <w:sz w:val="16"/>
                <w:szCs w:val="16"/>
              </w:rPr>
              <w:t>0.023753328</w:t>
            </w:r>
          </w:p>
        </w:tc>
        <w:tc>
          <w:tcPr>
            <w:tcW w:w="412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solid" w:color="FFFFFF" w:fill="auto"/>
          </w:tcPr>
          <w:p w14:paraId="705D3D15" w14:textId="77777777" w:rsidR="003E5ACF" w:rsidRPr="007625F2" w:rsidRDefault="003E5ACF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Streptomyces </w:t>
            </w:r>
            <w:proofErr w:type="spellStart"/>
            <w:r w:rsidRPr="007625F2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griseocarneus</w:t>
            </w:r>
            <w:proofErr w:type="spellEnd"/>
          </w:p>
        </w:tc>
      </w:tr>
    </w:tbl>
    <w:p w14:paraId="38F0AC1B" w14:textId="77777777" w:rsidR="003131B8" w:rsidRPr="00574292" w:rsidRDefault="003131B8" w:rsidP="008F5306">
      <w:pPr>
        <w:spacing w:after="80"/>
        <w:rPr>
          <w:rFonts w:ascii="Arial" w:hAnsi="Arial" w:cs="Arial"/>
          <w:b/>
          <w:bCs/>
        </w:rPr>
      </w:pPr>
    </w:p>
    <w:p w14:paraId="1FFF5D69" w14:textId="77777777" w:rsidR="006740A2" w:rsidRDefault="006740A2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5538D30" w14:textId="432A58E0" w:rsidR="003C0C1B" w:rsidRPr="006740A2" w:rsidRDefault="006740A2" w:rsidP="008F5306">
      <w:pPr>
        <w:spacing w:after="80"/>
        <w:rPr>
          <w:rFonts w:ascii="Arial" w:hAnsi="Arial" w:cs="Arial"/>
        </w:rPr>
      </w:pPr>
      <w:r w:rsidRPr="00574292">
        <w:rPr>
          <w:rFonts w:ascii="Arial" w:hAnsi="Arial" w:cs="Arial"/>
          <w:b/>
          <w:bCs/>
        </w:rPr>
        <w:lastRenderedPageBreak/>
        <w:t>Table S</w:t>
      </w:r>
      <w:r>
        <w:rPr>
          <w:rFonts w:ascii="Arial" w:hAnsi="Arial" w:cs="Arial"/>
          <w:b/>
          <w:bCs/>
        </w:rPr>
        <w:t>2</w:t>
      </w:r>
      <w:r w:rsidRPr="00574292">
        <w:rPr>
          <w:rFonts w:ascii="Arial" w:hAnsi="Arial" w:cs="Arial"/>
          <w:b/>
          <w:bCs/>
        </w:rPr>
        <w:t xml:space="preserve">. Differential gut microbiota in infected CB2R-KO mice compared to wild-type (WT) controls. </w:t>
      </w:r>
      <w:r w:rsidRPr="00574292">
        <w:rPr>
          <w:rFonts w:ascii="Arial" w:hAnsi="Arial" w:cs="Arial"/>
        </w:rPr>
        <w:t>Differentially abundant microbial species between CB2R knockout (CB2R-KO) and WT mice under infected conditions, based on statistical analysis of relative abundance (showing only species with p-values &lt; 0.05). Positive effect sizes indicate higher abundance in WT mice, while negative values indicate lower abundance in WT mice (i.e., enrichment in CB2R-KO mice). P-values were calculated using appropriate statistical methods for compositional microbiome data.</w:t>
      </w:r>
    </w:p>
    <w:p w14:paraId="497E928F" w14:textId="77777777" w:rsidR="006740A2" w:rsidRPr="00574292" w:rsidRDefault="006740A2" w:rsidP="006740A2">
      <w:pPr>
        <w:spacing w:after="80"/>
        <w:rPr>
          <w:rFonts w:ascii="Arial" w:hAnsi="Arial" w:cs="Arial"/>
          <w:b/>
          <w:bCs/>
        </w:rPr>
      </w:pPr>
    </w:p>
    <w:tbl>
      <w:tblPr>
        <w:tblW w:w="8833" w:type="dxa"/>
        <w:tblInd w:w="90" w:type="dxa"/>
        <w:tblLook w:val="04A0" w:firstRow="1" w:lastRow="0" w:firstColumn="1" w:lastColumn="0" w:noHBand="0" w:noVBand="1"/>
      </w:tblPr>
      <w:tblGrid>
        <w:gridCol w:w="2520"/>
        <w:gridCol w:w="1350"/>
        <w:gridCol w:w="4963"/>
      </w:tblGrid>
      <w:tr w:rsidR="006740A2" w:rsidRPr="006740A2" w14:paraId="2F5C6891" w14:textId="77777777" w:rsidTr="006740A2">
        <w:trPr>
          <w:trHeight w:val="300"/>
          <w:tblHeader/>
        </w:trPr>
        <w:tc>
          <w:tcPr>
            <w:tcW w:w="25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7C9477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effect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FC6D5E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49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08D19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species</w:t>
            </w:r>
          </w:p>
        </w:tc>
      </w:tr>
      <w:tr w:rsidR="003742BF" w:rsidRPr="006740A2" w14:paraId="363E0197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41B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3.859164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8F3E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0.003752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8FA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Limosilactobacillus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reuteri</w:t>
            </w:r>
            <w:proofErr w:type="spellEnd"/>
          </w:p>
        </w:tc>
      </w:tr>
      <w:tr w:rsidR="003742BF" w:rsidRPr="006740A2" w14:paraId="168CADC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FC45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2.482954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CFAB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0.012019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99D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Lactobacillus acidophilus</w:t>
            </w:r>
          </w:p>
        </w:tc>
      </w:tr>
      <w:tr w:rsidR="003742BF" w:rsidRPr="006740A2" w14:paraId="02C086D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2F7D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2.433801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EEE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0.043101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010C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Faecalitalea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cylindroides</w:t>
            </w:r>
            <w:proofErr w:type="spellEnd"/>
          </w:p>
        </w:tc>
      </w:tr>
      <w:tr w:rsidR="003742BF" w:rsidRPr="006740A2" w14:paraId="4DF61AA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038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2.427716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43E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0.009612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1C44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Thermophilibacter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immobilis</w:t>
            </w:r>
            <w:proofErr w:type="spellEnd"/>
          </w:p>
        </w:tc>
      </w:tr>
      <w:tr w:rsidR="003742BF" w:rsidRPr="006740A2" w14:paraId="5372ADD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F44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2.342164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D1FA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0.006799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58F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Collinsella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stercoris</w:t>
            </w:r>
            <w:proofErr w:type="spellEnd"/>
          </w:p>
        </w:tc>
      </w:tr>
      <w:tr w:rsidR="003742BF" w:rsidRPr="006740A2" w14:paraId="6747673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4984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2.222094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CC7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0.017555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6C1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Lactobacillus intestinalis</w:t>
            </w:r>
          </w:p>
        </w:tc>
      </w:tr>
      <w:tr w:rsidR="003742BF" w:rsidRPr="006740A2" w14:paraId="134AC74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CAA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2.186714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101D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0.01683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0968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Bifidobacterium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animalis</w:t>
            </w:r>
            <w:proofErr w:type="spellEnd"/>
          </w:p>
        </w:tc>
      </w:tr>
      <w:tr w:rsidR="003742BF" w:rsidRPr="006740A2" w14:paraId="73EB020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B94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1.98508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DA12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0.036836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46E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Leptogranulimonas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caecicola</w:t>
            </w:r>
            <w:proofErr w:type="spellEnd"/>
          </w:p>
        </w:tc>
      </w:tr>
      <w:tr w:rsidR="003742BF" w:rsidRPr="006740A2" w14:paraId="3585AF98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A7E2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1.966884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228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0.011173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5100E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Levilactobacillus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brevis</w:t>
            </w:r>
          </w:p>
        </w:tc>
      </w:tr>
      <w:tr w:rsidR="003742BF" w:rsidRPr="006740A2" w14:paraId="01FCBFF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312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1.96591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FDA2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0.017345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5DE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Olsenella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oral taxon 807</w:t>
            </w:r>
          </w:p>
        </w:tc>
      </w:tr>
      <w:tr w:rsidR="003742BF" w:rsidRPr="006740A2" w14:paraId="60DA33E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E088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1.914523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AF98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0.019453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41EB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Streptomyces incarnatus</w:t>
            </w:r>
          </w:p>
        </w:tc>
      </w:tr>
      <w:tr w:rsidR="003742BF" w:rsidRPr="006740A2" w14:paraId="70939F6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7242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1.870418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3AFB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0.0258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990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Sulfuriflexus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mobilis</w:t>
            </w:r>
            <w:proofErr w:type="spellEnd"/>
          </w:p>
        </w:tc>
      </w:tr>
      <w:tr w:rsidR="003742BF" w:rsidRPr="006740A2" w14:paraId="0F1B8A16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7D21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1.813473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2BC4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0.031319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C5E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Mammaliicoccus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stepanovicii</w:t>
            </w:r>
            <w:proofErr w:type="spellEnd"/>
          </w:p>
        </w:tc>
      </w:tr>
      <w:tr w:rsidR="003742BF" w:rsidRPr="006740A2" w14:paraId="2F98921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D2CE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1.809254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967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0.021712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6B55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Streptomyces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peucetius</w:t>
            </w:r>
            <w:proofErr w:type="spellEnd"/>
          </w:p>
        </w:tc>
      </w:tr>
      <w:tr w:rsidR="003742BF" w:rsidRPr="006740A2" w14:paraId="1677FC3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A60D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1.793468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2E19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0.019977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4450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Streptomyces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phaeolivaceus</w:t>
            </w:r>
            <w:proofErr w:type="spellEnd"/>
          </w:p>
        </w:tc>
      </w:tr>
      <w:tr w:rsidR="003742BF" w:rsidRPr="006740A2" w14:paraId="2B27070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3EDD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1.771369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813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0.027766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E2B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Desulfuromonas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versatilis</w:t>
            </w:r>
            <w:proofErr w:type="spellEnd"/>
          </w:p>
        </w:tc>
      </w:tr>
      <w:tr w:rsidR="003742BF" w:rsidRPr="006740A2" w14:paraId="4A99CBB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BBB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1.759965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0DF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0.024658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8405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Collinsella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aerofaciens</w:t>
            </w:r>
            <w:proofErr w:type="spellEnd"/>
          </w:p>
        </w:tc>
      </w:tr>
      <w:tr w:rsidR="003742BF" w:rsidRPr="006740A2" w14:paraId="22FEA38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BBA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1.750412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91D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0.026085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A43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Nocardia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cyriacigeorgica</w:t>
            </w:r>
            <w:proofErr w:type="spellEnd"/>
          </w:p>
        </w:tc>
      </w:tr>
      <w:tr w:rsidR="003742BF" w:rsidRPr="006740A2" w14:paraId="7138AD5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47D7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1.750301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ED92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0.023543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DCEF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Comamonas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thiooxydans</w:t>
            </w:r>
            <w:proofErr w:type="spellEnd"/>
          </w:p>
        </w:tc>
      </w:tr>
      <w:tr w:rsidR="003742BF" w:rsidRPr="006740A2" w14:paraId="707BFB56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DFE5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1.747648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9B5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0.03646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B078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R14(2021)</w:t>
            </w:r>
          </w:p>
        </w:tc>
      </w:tr>
      <w:tr w:rsidR="003742BF" w:rsidRPr="006740A2" w14:paraId="387C21A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60EC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1.701353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1979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0.019995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AD7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Suicoccus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acidiformans</w:t>
            </w:r>
            <w:proofErr w:type="spellEnd"/>
          </w:p>
        </w:tc>
      </w:tr>
      <w:tr w:rsidR="003742BF" w:rsidRPr="006740A2" w14:paraId="4376960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4A32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1.67555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80B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0.032139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9D8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Limosilactobacillus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fermentum</w:t>
            </w:r>
          </w:p>
        </w:tc>
      </w:tr>
      <w:tr w:rsidR="003742BF" w:rsidRPr="006740A2" w14:paraId="0DC4624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C33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1.671052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CF18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0.047338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B616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Vibrio palustris</w:t>
            </w:r>
          </w:p>
        </w:tc>
      </w:tr>
      <w:tr w:rsidR="003742BF" w:rsidRPr="006740A2" w14:paraId="1B76A777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BA1B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1.670792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8252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0.024908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7099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Paraburkholderia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sprentiae</w:t>
            </w:r>
            <w:proofErr w:type="spellEnd"/>
          </w:p>
        </w:tc>
      </w:tr>
      <w:tr w:rsidR="003742BF" w:rsidRPr="006740A2" w14:paraId="64AE04F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3450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1.660302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7A8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0.028287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53B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Achromobacter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pestifer</w:t>
            </w:r>
            <w:proofErr w:type="spellEnd"/>
          </w:p>
        </w:tc>
      </w:tr>
      <w:tr w:rsidR="003742BF" w:rsidRPr="006740A2" w14:paraId="03CD669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1AEB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1.64522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1EF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0.028993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8889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Arthrobacter sp. NicSoilB4</w:t>
            </w:r>
          </w:p>
        </w:tc>
      </w:tr>
      <w:tr w:rsidR="003742BF" w:rsidRPr="006740A2" w14:paraId="1ADA895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B4B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1.635731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5F43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0.025347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61E0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Halobacillus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halophilus</w:t>
            </w:r>
            <w:proofErr w:type="spellEnd"/>
          </w:p>
        </w:tc>
      </w:tr>
      <w:tr w:rsidR="003742BF" w:rsidRPr="006740A2" w14:paraId="561FA57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2F10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1.6218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2BA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0.029817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9640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Streptococcus sp. Marseille-Q6470</w:t>
            </w:r>
          </w:p>
        </w:tc>
      </w:tr>
      <w:tr w:rsidR="003742BF" w:rsidRPr="006740A2" w14:paraId="2D62990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B3A7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1.621177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ED39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0.035643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7A14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Actinoplanes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N902-109</w:t>
            </w:r>
          </w:p>
        </w:tc>
      </w:tr>
      <w:tr w:rsidR="003742BF" w:rsidRPr="006740A2" w14:paraId="1991E93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730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1.599131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DF88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0.037966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4788F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Haladaptatus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salinisoli</w:t>
            </w:r>
            <w:proofErr w:type="spellEnd"/>
          </w:p>
        </w:tc>
      </w:tr>
      <w:tr w:rsidR="003742BF" w:rsidRPr="006740A2" w14:paraId="462C994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49D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1.597443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6629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0.023203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04DF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Lactobacillus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gasseri</w:t>
            </w:r>
            <w:proofErr w:type="spellEnd"/>
          </w:p>
        </w:tc>
      </w:tr>
      <w:tr w:rsidR="003742BF" w:rsidRPr="006740A2" w14:paraId="239DB9E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409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1.579575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4D95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0.019945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BB7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Virgibacillus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phasianinus</w:t>
            </w:r>
            <w:proofErr w:type="spellEnd"/>
          </w:p>
        </w:tc>
      </w:tr>
      <w:tr w:rsidR="003742BF" w:rsidRPr="006740A2" w14:paraId="2A8AE2C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140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1.579332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66DF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0.025205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688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Parolsenella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massiliensis</w:t>
            </w:r>
            <w:proofErr w:type="spellEnd"/>
          </w:p>
        </w:tc>
      </w:tr>
      <w:tr w:rsidR="003742BF" w:rsidRPr="006740A2" w14:paraId="0374075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BB18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1.563837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81B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0.029819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6DC0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Mycobacterium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senriense</w:t>
            </w:r>
            <w:proofErr w:type="spellEnd"/>
          </w:p>
        </w:tc>
      </w:tr>
      <w:tr w:rsidR="003742BF" w:rsidRPr="006740A2" w14:paraId="00376F9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B1E3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1.559932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6DA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0.035843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D1E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Lactobacillus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helveticus</w:t>
            </w:r>
            <w:proofErr w:type="spellEnd"/>
          </w:p>
        </w:tc>
      </w:tr>
      <w:tr w:rsidR="003742BF" w:rsidRPr="006740A2" w14:paraId="728FD6E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0DF4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1.556545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378F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0.035437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3BA5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Proteus sp. ZN5</w:t>
            </w:r>
          </w:p>
        </w:tc>
      </w:tr>
      <w:tr w:rsidR="003742BF" w:rsidRPr="006740A2" w14:paraId="71DDB9C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3F9B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1.536247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ACE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0.040078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698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Lactobacillus prophage Lj771</w:t>
            </w:r>
          </w:p>
        </w:tc>
      </w:tr>
      <w:tr w:rsidR="003742BF" w:rsidRPr="006740A2" w14:paraId="16ECE53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C01E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1.522036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2884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0.044351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324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Streptococcus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parauberis</w:t>
            </w:r>
            <w:proofErr w:type="spellEnd"/>
          </w:p>
        </w:tc>
      </w:tr>
      <w:tr w:rsidR="003742BF" w:rsidRPr="006740A2" w14:paraId="4FFB317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994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1.5155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A71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0.037113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025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Rhodococcus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fascians</w:t>
            </w:r>
            <w:proofErr w:type="spellEnd"/>
          </w:p>
        </w:tc>
      </w:tr>
      <w:tr w:rsidR="003742BF" w:rsidRPr="006740A2" w14:paraId="779ACC3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5CA9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1.511237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A08A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0.027138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BBE9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Amedibacterium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intestinale</w:t>
            </w:r>
            <w:proofErr w:type="spellEnd"/>
          </w:p>
        </w:tc>
      </w:tr>
      <w:tr w:rsidR="003742BF" w:rsidRPr="006740A2" w14:paraId="050BC00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855E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1.507483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3901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0.036098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BF67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Melaminivora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jejuensis</w:t>
            </w:r>
            <w:proofErr w:type="spellEnd"/>
          </w:p>
        </w:tc>
      </w:tr>
      <w:tr w:rsidR="003742BF" w:rsidRPr="006740A2" w14:paraId="6035358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1886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1.487471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9DCE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0.046571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B12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Pseudomonas sp. Seg1</w:t>
            </w:r>
          </w:p>
        </w:tc>
      </w:tr>
      <w:tr w:rsidR="003742BF" w:rsidRPr="006740A2" w14:paraId="6C28D1E7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4635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1.48642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33FB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0.043436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0444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Xanthomonas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translucens</w:t>
            </w:r>
            <w:proofErr w:type="spellEnd"/>
          </w:p>
        </w:tc>
      </w:tr>
      <w:tr w:rsidR="003742BF" w:rsidRPr="006740A2" w14:paraId="1E8DCE0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970E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1.482214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E34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0.042267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7C56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Lactobacillus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iners</w:t>
            </w:r>
            <w:proofErr w:type="spellEnd"/>
          </w:p>
        </w:tc>
      </w:tr>
      <w:tr w:rsidR="003742BF" w:rsidRPr="006740A2" w14:paraId="1033BFE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A2F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1.478858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330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0.041698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E327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Symbiobacterium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thermophilum</w:t>
            </w:r>
            <w:proofErr w:type="spellEnd"/>
          </w:p>
        </w:tc>
      </w:tr>
      <w:tr w:rsidR="003742BF" w:rsidRPr="006740A2" w14:paraId="702DC44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6AAC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1.475707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AF2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0.02744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C9A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Lactobacillus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paragasseri</w:t>
            </w:r>
            <w:proofErr w:type="spellEnd"/>
          </w:p>
        </w:tc>
      </w:tr>
      <w:tr w:rsidR="003742BF" w:rsidRPr="006740A2" w14:paraId="4EBE89E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F5D6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1.434723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F76F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0.049845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91D6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Gordonia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amarae</w:t>
            </w:r>
            <w:proofErr w:type="spellEnd"/>
          </w:p>
        </w:tc>
      </w:tr>
      <w:tr w:rsidR="003742BF" w:rsidRPr="006740A2" w14:paraId="5B50CEE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CF72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1.415214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2484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0.041926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36D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Parolsenella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catena</w:t>
            </w:r>
          </w:p>
        </w:tc>
      </w:tr>
      <w:tr w:rsidR="003742BF" w:rsidRPr="006740A2" w14:paraId="7CB9C4A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D32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1.411494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B30B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0.049944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1F1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Vagococcus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fluvialis</w:t>
            </w:r>
            <w:proofErr w:type="spellEnd"/>
          </w:p>
        </w:tc>
      </w:tr>
      <w:tr w:rsidR="003742BF" w:rsidRPr="006740A2" w14:paraId="2FDD2518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8BD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1.410431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4A2E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0.03465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98CD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Enterococcus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wangshanyuanii</w:t>
            </w:r>
            <w:proofErr w:type="spellEnd"/>
          </w:p>
        </w:tc>
      </w:tr>
      <w:tr w:rsidR="003742BF" w:rsidRPr="006740A2" w14:paraId="10666F0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4CF7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1.409487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8594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0.043769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5F074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Cardiobacterium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hominis</w:t>
            </w:r>
          </w:p>
        </w:tc>
      </w:tr>
      <w:tr w:rsidR="003742BF" w:rsidRPr="006740A2" w14:paraId="4E06F1D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F288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1.403889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3997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0.047767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347D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Bacillus rugosus</w:t>
            </w:r>
          </w:p>
        </w:tc>
      </w:tr>
      <w:tr w:rsidR="003742BF" w:rsidRPr="006740A2" w14:paraId="09A16A9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7D77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1.3987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293D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0.040472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EE9EF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Erythrobacter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neustonensis</w:t>
            </w:r>
            <w:proofErr w:type="spellEnd"/>
          </w:p>
        </w:tc>
      </w:tr>
      <w:tr w:rsidR="003742BF" w:rsidRPr="006740A2" w14:paraId="707A645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1F02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1.385053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6D9D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0.044034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E67F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Streptococcus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canis</w:t>
            </w:r>
            <w:proofErr w:type="spellEnd"/>
          </w:p>
        </w:tc>
      </w:tr>
      <w:tr w:rsidR="003742BF" w:rsidRPr="006740A2" w14:paraId="0E7B538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0F8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1.373219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5ED3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0.037262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90BE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Methylotenera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mobilis</w:t>
            </w:r>
            <w:proofErr w:type="spellEnd"/>
          </w:p>
        </w:tc>
      </w:tr>
      <w:tr w:rsidR="003742BF" w:rsidRPr="006740A2" w14:paraId="6845BE2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F052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1.365567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5971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0.045745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12B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Fictibacillus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arsenicus</w:t>
            </w:r>
            <w:proofErr w:type="spellEnd"/>
          </w:p>
        </w:tc>
      </w:tr>
      <w:tr w:rsidR="003742BF" w:rsidRPr="006740A2" w14:paraId="01C19CD7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50F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1.356855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B883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0.042264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5C0C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Bacillus sp. OxB-1</w:t>
            </w:r>
          </w:p>
        </w:tc>
      </w:tr>
      <w:tr w:rsidR="003742BF" w:rsidRPr="006740A2" w14:paraId="7ED4929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A91F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1.346039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E6A8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0.03991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8A31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Lactobacillus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crispatus</w:t>
            </w:r>
            <w:proofErr w:type="spellEnd"/>
          </w:p>
        </w:tc>
      </w:tr>
      <w:tr w:rsidR="003742BF" w:rsidRPr="006740A2" w14:paraId="0E86949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8E61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1.345834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04A4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0.049842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EC05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Glutamicibacter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JL.03c</w:t>
            </w:r>
          </w:p>
        </w:tc>
      </w:tr>
      <w:tr w:rsidR="003742BF" w:rsidRPr="006740A2" w14:paraId="6944DE3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E3DE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1.329695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A1F8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0.044913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8A95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Chania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multitudinisentens</w:t>
            </w:r>
            <w:proofErr w:type="spellEnd"/>
          </w:p>
        </w:tc>
      </w:tr>
      <w:tr w:rsidR="003742BF" w:rsidRPr="006740A2" w14:paraId="3261608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D067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1.316348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E0F6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0.045106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764E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Mycetohabitans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rhizoxinica</w:t>
            </w:r>
            <w:proofErr w:type="spellEnd"/>
          </w:p>
        </w:tc>
      </w:tr>
      <w:tr w:rsidR="003742BF" w:rsidRPr="006740A2" w14:paraId="22CEA6F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1253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1.308129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D605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0.047967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77C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Tumebacillus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avium</w:t>
            </w:r>
          </w:p>
        </w:tc>
      </w:tr>
      <w:tr w:rsidR="003742BF" w:rsidRPr="006740A2" w14:paraId="50193FF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89F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1.297817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08A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0.045247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D566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Amylolactobacillus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amylophilus</w:t>
            </w:r>
            <w:proofErr w:type="spellEnd"/>
          </w:p>
        </w:tc>
      </w:tr>
      <w:tr w:rsidR="003742BF" w:rsidRPr="006740A2" w14:paraId="6EC5CDE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61D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1.284907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2162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0.044601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9B3D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Fusobacterium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ulcerans</w:t>
            </w:r>
            <w:proofErr w:type="spellEnd"/>
          </w:p>
        </w:tc>
      </w:tr>
      <w:tr w:rsidR="003742BF" w:rsidRPr="006740A2" w14:paraId="191D284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8B54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1.271263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EBAE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0.042396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541E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Xenorhabdus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doucetiae</w:t>
            </w:r>
            <w:proofErr w:type="spellEnd"/>
          </w:p>
        </w:tc>
      </w:tr>
      <w:tr w:rsidR="003742BF" w:rsidRPr="006740A2" w14:paraId="31EA86B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F406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1.230383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5842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0.041816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ADD5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Paenibacillus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protaetiae</w:t>
            </w:r>
            <w:proofErr w:type="spellEnd"/>
          </w:p>
        </w:tc>
      </w:tr>
      <w:tr w:rsidR="003742BF" w:rsidRPr="006740A2" w14:paraId="42BA3568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A74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-1.30874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00AA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0.040528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4AE2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Sphingobacterium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spiritivorum</w:t>
            </w:r>
            <w:proofErr w:type="spellEnd"/>
          </w:p>
        </w:tc>
      </w:tr>
      <w:tr w:rsidR="003742BF" w:rsidRPr="006740A2" w14:paraId="56BE523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FC0C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-1.34059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4798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0.044479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5F54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Adhaeribacter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swui</w:t>
            </w:r>
            <w:proofErr w:type="spellEnd"/>
          </w:p>
        </w:tc>
      </w:tr>
      <w:tr w:rsidR="003742BF" w:rsidRPr="006740A2" w14:paraId="6F2671E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604F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-1.3477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A5BD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0.045952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141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Thiomicrorhabdus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aquaedulcis</w:t>
            </w:r>
            <w:proofErr w:type="spellEnd"/>
          </w:p>
        </w:tc>
      </w:tr>
      <w:tr w:rsidR="003742BF" w:rsidRPr="006740A2" w14:paraId="2DD2FE8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542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-1.35098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2724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0.049048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D46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Leisingera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BMJM1</w:t>
            </w:r>
          </w:p>
        </w:tc>
      </w:tr>
      <w:tr w:rsidR="003742BF" w:rsidRPr="006740A2" w14:paraId="61E16A9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BBCA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-1.36347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1990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0.043606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78DA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Flavobacterium sp. K5-23</w:t>
            </w:r>
          </w:p>
        </w:tc>
      </w:tr>
      <w:tr w:rsidR="003742BF" w:rsidRPr="006740A2" w14:paraId="3502E09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44FB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-1.3753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4212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0.048457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811E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Burkholderia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PAMC 26561</w:t>
            </w:r>
          </w:p>
        </w:tc>
      </w:tr>
      <w:tr w:rsidR="003742BF" w:rsidRPr="006740A2" w14:paraId="4349B34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0AC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-1.37621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E1D5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0.043822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73A7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Methanospirillum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hungatei</w:t>
            </w:r>
            <w:proofErr w:type="spellEnd"/>
          </w:p>
        </w:tc>
      </w:tr>
      <w:tr w:rsidR="003742BF" w:rsidRPr="006740A2" w14:paraId="42D4B4A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92E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-1.38065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6EDB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0.049631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AE6C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Salinibacter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ruber</w:t>
            </w:r>
            <w:proofErr w:type="spellEnd"/>
          </w:p>
        </w:tc>
      </w:tr>
      <w:tr w:rsidR="003742BF" w:rsidRPr="006740A2" w14:paraId="6D7AF2C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2C89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-1.41991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596C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0.039885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29C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Mucilaginibacter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ginsenosidivorax</w:t>
            </w:r>
            <w:proofErr w:type="spellEnd"/>
          </w:p>
        </w:tc>
      </w:tr>
      <w:tr w:rsidR="003742BF" w:rsidRPr="006740A2" w14:paraId="61F81526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0E8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-1.43456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9922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0.044726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B95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Flavobacterium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inviolabile</w:t>
            </w:r>
            <w:proofErr w:type="spellEnd"/>
          </w:p>
        </w:tc>
      </w:tr>
      <w:tr w:rsidR="003742BF" w:rsidRPr="006740A2" w14:paraId="35D54BD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03BC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-1.43561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2D7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0.048758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F95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Arachidicoccus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B3-10</w:t>
            </w:r>
          </w:p>
        </w:tc>
      </w:tr>
      <w:tr w:rsidR="003742BF" w:rsidRPr="006740A2" w14:paraId="07CA0BC8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BF4D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-1.43801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BAAB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0.045297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263C4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Hymenobacter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5420S-77</w:t>
            </w:r>
          </w:p>
        </w:tc>
      </w:tr>
      <w:tr w:rsidR="003742BF" w:rsidRPr="006740A2" w14:paraId="5C85A5F4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2A64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-1.4484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1316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0.045731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21C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Elizabethkingia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meningoseptica</w:t>
            </w:r>
            <w:proofErr w:type="spellEnd"/>
          </w:p>
        </w:tc>
      </w:tr>
      <w:tr w:rsidR="003742BF" w:rsidRPr="006740A2" w14:paraId="2E53101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C6E5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-1.45291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2AEC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0.0394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6BE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Chryseobacterium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3008163</w:t>
            </w:r>
          </w:p>
        </w:tc>
      </w:tr>
      <w:tr w:rsidR="003742BF" w:rsidRPr="006740A2" w14:paraId="790CDC1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D7C1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-1.45434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D64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0.045606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0E2E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Flavobacterium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crassostreae</w:t>
            </w:r>
            <w:proofErr w:type="spellEnd"/>
          </w:p>
        </w:tc>
      </w:tr>
      <w:tr w:rsidR="003742BF" w:rsidRPr="006740A2" w14:paraId="3930D2D7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549D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-1.45719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E4F9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0.049326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0EC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Tatumella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ptyseos</w:t>
            </w:r>
            <w:proofErr w:type="spellEnd"/>
          </w:p>
        </w:tc>
      </w:tr>
      <w:tr w:rsidR="003742BF" w:rsidRPr="006740A2" w14:paraId="3A9A15B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673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-1.46334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4513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0.035326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B737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Ottowia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testudinis</w:t>
            </w:r>
            <w:proofErr w:type="spellEnd"/>
          </w:p>
        </w:tc>
      </w:tr>
      <w:tr w:rsidR="003742BF" w:rsidRPr="006740A2" w14:paraId="5E3FB8B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EE9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-1.46371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F000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0.042696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3A0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Deep-sea thermophilic phage D6E</w:t>
            </w:r>
          </w:p>
        </w:tc>
      </w:tr>
      <w:tr w:rsidR="003742BF" w:rsidRPr="006740A2" w14:paraId="5254B95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E6D7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-1.46496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78E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0.035678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FB1C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Lacunisphaera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limnophila</w:t>
            </w:r>
            <w:proofErr w:type="spellEnd"/>
          </w:p>
        </w:tc>
      </w:tr>
      <w:tr w:rsidR="003742BF" w:rsidRPr="00F74F76" w14:paraId="6EED46E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6734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-1.4674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23C1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0.041228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9415D" w14:textId="77777777" w:rsidR="006740A2" w:rsidRPr="00821708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it-IT"/>
              </w:rPr>
            </w:pPr>
            <w:r w:rsidRPr="00821708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val="it-IT"/>
              </w:rPr>
              <w:t>Kaistella flava (ex Peng et al. 2021)</w:t>
            </w:r>
          </w:p>
        </w:tc>
      </w:tr>
      <w:tr w:rsidR="003742BF" w:rsidRPr="006740A2" w14:paraId="52F20421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F08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-1.4913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548D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0.034719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96D4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Nocardioides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rotundus</w:t>
            </w:r>
          </w:p>
        </w:tc>
      </w:tr>
      <w:tr w:rsidR="003742BF" w:rsidRPr="006740A2" w14:paraId="47245AB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539E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-1.52652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B63E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0.038584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480F6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Nonlabens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Ci31</w:t>
            </w:r>
          </w:p>
        </w:tc>
      </w:tr>
      <w:tr w:rsidR="003742BF" w:rsidRPr="006740A2" w14:paraId="060A78E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940A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-1.54228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116A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0.042487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F37C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Paraburkholderia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fungorum</w:t>
            </w:r>
            <w:proofErr w:type="spellEnd"/>
          </w:p>
        </w:tc>
      </w:tr>
      <w:tr w:rsidR="003742BF" w:rsidRPr="006740A2" w14:paraId="72D4B0E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DEB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-1.55604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45A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0.039254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83D4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Chryseobacterium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PCH239</w:t>
            </w:r>
          </w:p>
        </w:tc>
      </w:tr>
      <w:tr w:rsidR="003742BF" w:rsidRPr="006740A2" w14:paraId="52EB2E7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45AF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-1.56392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2EB6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0.034406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EC729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Mucilaginibacter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rubeus</w:t>
            </w:r>
            <w:proofErr w:type="spellEnd"/>
          </w:p>
        </w:tc>
      </w:tr>
      <w:tr w:rsidR="003742BF" w:rsidRPr="006740A2" w14:paraId="45E3EADE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2320C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-1.57396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6AD4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0.026701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28277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Corynebacterium flavescens</w:t>
            </w:r>
          </w:p>
        </w:tc>
      </w:tr>
      <w:tr w:rsidR="003742BF" w:rsidRPr="006740A2" w14:paraId="5C80053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6261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-1.58245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C36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0.034161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5DD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Mucilaginibacter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ginkgonis</w:t>
            </w:r>
            <w:proofErr w:type="spellEnd"/>
          </w:p>
        </w:tc>
      </w:tr>
      <w:tr w:rsidR="003742BF" w:rsidRPr="006740A2" w14:paraId="6B70105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6386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-1.59836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85B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0.026153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885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Methylocaldum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marinum</w:t>
            </w:r>
            <w:proofErr w:type="spellEnd"/>
          </w:p>
        </w:tc>
      </w:tr>
      <w:tr w:rsidR="003742BF" w:rsidRPr="006740A2" w14:paraId="5D2B688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F2C2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-1.59932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C97B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0.03033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574B8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Flavobacterium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kingsejongi</w:t>
            </w:r>
            <w:proofErr w:type="spellEnd"/>
          </w:p>
        </w:tc>
      </w:tr>
      <w:tr w:rsidR="003742BF" w:rsidRPr="006740A2" w14:paraId="2CB8E8CA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A09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-1.61474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DA3E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0.040414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4DA56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Colwellia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Arc7-635</w:t>
            </w:r>
          </w:p>
        </w:tc>
      </w:tr>
      <w:tr w:rsidR="003742BF" w:rsidRPr="006740A2" w14:paraId="43DA46D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552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-1.62897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B068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6FDFB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Micavibrio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aeruginosavorus</w:t>
            </w:r>
            <w:proofErr w:type="spellEnd"/>
          </w:p>
        </w:tc>
      </w:tr>
      <w:tr w:rsidR="003742BF" w:rsidRPr="006740A2" w14:paraId="42E4719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C34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-1.64183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645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0.027637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E8796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Flavobacterium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sangjuense</w:t>
            </w:r>
            <w:proofErr w:type="spellEnd"/>
          </w:p>
        </w:tc>
      </w:tr>
      <w:tr w:rsidR="003742BF" w:rsidRPr="006740A2" w14:paraId="7D8E9C2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771F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-1.64638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D14E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0.029855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8F1B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Nocardioides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TF02-7</w:t>
            </w:r>
          </w:p>
        </w:tc>
      </w:tr>
      <w:tr w:rsidR="003742BF" w:rsidRPr="006740A2" w14:paraId="34BF4B5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867D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-1.64849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58D62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0.040786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CB5C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Alistipes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finegoldii</w:t>
            </w:r>
            <w:proofErr w:type="spellEnd"/>
          </w:p>
        </w:tc>
      </w:tr>
      <w:tr w:rsidR="003742BF" w:rsidRPr="006740A2" w14:paraId="76BB0D7B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9DD9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-1.65471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97E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0.029089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FA0DE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Pedobacter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SW-16</w:t>
            </w:r>
          </w:p>
        </w:tc>
      </w:tr>
      <w:tr w:rsidR="003742BF" w:rsidRPr="006740A2" w14:paraId="3C9075E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127A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-1.67248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B618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0.036393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9376F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Qipengyuania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aquimaris</w:t>
            </w:r>
            <w:proofErr w:type="spellEnd"/>
          </w:p>
        </w:tc>
      </w:tr>
      <w:tr w:rsidR="003742BF" w:rsidRPr="006740A2" w14:paraId="70BFC47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EA1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-1.69297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9BB9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0.033417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690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Muricauda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SCSIO 64092</w:t>
            </w:r>
          </w:p>
        </w:tc>
      </w:tr>
      <w:tr w:rsidR="003742BF" w:rsidRPr="006740A2" w14:paraId="40962CA3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23A9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-1.70141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F8A4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0.029863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A4B2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Capnocytophaga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oral taxon 864</w:t>
            </w:r>
          </w:p>
        </w:tc>
      </w:tr>
      <w:tr w:rsidR="003742BF" w:rsidRPr="006740A2" w14:paraId="2C35705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B393D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-1.70914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FB2B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0.047653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7593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Fulvivirga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W9P-11</w:t>
            </w:r>
          </w:p>
        </w:tc>
      </w:tr>
      <w:tr w:rsidR="003742BF" w:rsidRPr="006740A2" w14:paraId="107882A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279C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-1.71551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7143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0.03361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FA06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Methylococcus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EFPC2</w:t>
            </w:r>
          </w:p>
        </w:tc>
      </w:tr>
      <w:tr w:rsidR="003742BF" w:rsidRPr="006740A2" w14:paraId="343231A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828B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-1.7211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EC03B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0.03064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89D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Arenibacter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algicola</w:t>
            </w:r>
            <w:proofErr w:type="spellEnd"/>
          </w:p>
        </w:tc>
      </w:tr>
      <w:tr w:rsidR="003742BF" w:rsidRPr="006740A2" w14:paraId="2C9AF420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8D6FA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-1.75791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E47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0.021201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8E3E0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Chryseobacterium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6424</w:t>
            </w:r>
          </w:p>
        </w:tc>
      </w:tr>
      <w:tr w:rsidR="003742BF" w:rsidRPr="006740A2" w14:paraId="16542FCC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2AB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-1.82521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8A0EE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0.019388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27F2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Chryseobacterium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lactis</w:t>
            </w:r>
          </w:p>
        </w:tc>
      </w:tr>
      <w:tr w:rsidR="003742BF" w:rsidRPr="006740A2" w14:paraId="2BAF28F2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5391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-1.92894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ACD5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0.025678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721FA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Alistipes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onderdonkii</w:t>
            </w:r>
            <w:proofErr w:type="spellEnd"/>
          </w:p>
        </w:tc>
      </w:tr>
      <w:tr w:rsidR="003742BF" w:rsidRPr="006740A2" w14:paraId="047859B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9D6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-1.95761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9D2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0.034083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449F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Kaistella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antarctica</w:t>
            </w:r>
          </w:p>
        </w:tc>
      </w:tr>
      <w:tr w:rsidR="003742BF" w:rsidRPr="006740A2" w14:paraId="6E289DAD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75033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-1.99955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C724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0.011186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8E51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Odoribacter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splanchnicus</w:t>
            </w:r>
            <w:proofErr w:type="spellEnd"/>
          </w:p>
        </w:tc>
      </w:tr>
      <w:tr w:rsidR="003742BF" w:rsidRPr="006740A2" w14:paraId="54D03F65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F767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-2.04097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0E02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0.020681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3A7FD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Chryseobacterium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oryzae</w:t>
            </w:r>
          </w:p>
        </w:tc>
      </w:tr>
      <w:tr w:rsidR="003742BF" w:rsidRPr="006740A2" w14:paraId="15FA483F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CDF28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-2.05013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D6B9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0.019308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F6533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Alistipes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dispar</w:t>
            </w:r>
          </w:p>
        </w:tc>
      </w:tr>
      <w:tr w:rsidR="003742BF" w:rsidRPr="006740A2" w14:paraId="41476B3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4FF6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-2.14015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2573F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0.012442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A05A5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Opitutus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sp. GAS368</w:t>
            </w:r>
          </w:p>
        </w:tc>
      </w:tr>
      <w:tr w:rsidR="003742BF" w:rsidRPr="006740A2" w14:paraId="1C3547A9" w14:textId="77777777" w:rsidTr="006740A2">
        <w:trPr>
          <w:trHeight w:val="3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95334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-2.36793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E880" w14:textId="77777777" w:rsidR="006740A2" w:rsidRPr="006740A2" w:rsidRDefault="006740A2" w:rsidP="00434D96">
            <w:pPr>
              <w:spacing w:after="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740A2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0.016644</w:t>
            </w:r>
          </w:p>
        </w:tc>
        <w:tc>
          <w:tcPr>
            <w:tcW w:w="49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96504" w14:textId="77777777" w:rsidR="006740A2" w:rsidRPr="006740A2" w:rsidRDefault="006740A2" w:rsidP="00434D96">
            <w:pPr>
              <w:spacing w:after="0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Alistipes</w:t>
            </w:r>
            <w:proofErr w:type="spellEnd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740A2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megaguti</w:t>
            </w:r>
            <w:proofErr w:type="spellEnd"/>
          </w:p>
        </w:tc>
      </w:tr>
    </w:tbl>
    <w:p w14:paraId="430AE5F4" w14:textId="77777777" w:rsidR="006740A2" w:rsidRDefault="006740A2" w:rsidP="006740A2">
      <w:pPr>
        <w:spacing w:after="80"/>
        <w:rPr>
          <w:rFonts w:ascii="Arial" w:hAnsi="Arial" w:cs="Arial"/>
          <w:b/>
          <w:bCs/>
        </w:rPr>
      </w:pPr>
    </w:p>
    <w:p w14:paraId="73FA8270" w14:textId="77777777" w:rsidR="003C0C1B" w:rsidRPr="00574292" w:rsidRDefault="003C0C1B" w:rsidP="008F5306">
      <w:pPr>
        <w:spacing w:after="80"/>
        <w:rPr>
          <w:rFonts w:ascii="Arial" w:hAnsi="Arial" w:cs="Arial"/>
          <w:b/>
          <w:bCs/>
        </w:rPr>
      </w:pPr>
    </w:p>
    <w:p w14:paraId="5FC53D4C" w14:textId="77777777" w:rsidR="003C0C1B" w:rsidRPr="00574292" w:rsidRDefault="003C0C1B" w:rsidP="008F5306">
      <w:pPr>
        <w:spacing w:after="80"/>
        <w:rPr>
          <w:rFonts w:ascii="Arial" w:hAnsi="Arial" w:cs="Arial"/>
          <w:b/>
          <w:bCs/>
        </w:rPr>
      </w:pPr>
    </w:p>
    <w:p w14:paraId="3C6CF3AA" w14:textId="6C6AFEFE" w:rsidR="008D6748" w:rsidRPr="00574292" w:rsidRDefault="008D6748" w:rsidP="008F5306">
      <w:pPr>
        <w:spacing w:after="80"/>
        <w:rPr>
          <w:rFonts w:ascii="Arial" w:hAnsi="Arial" w:cs="Arial"/>
          <w:b/>
          <w:bCs/>
        </w:rPr>
      </w:pPr>
      <w:r w:rsidRPr="00574292">
        <w:rPr>
          <w:rFonts w:ascii="Arial" w:hAnsi="Arial" w:cs="Arial"/>
          <w:b/>
          <w:bCs/>
        </w:rPr>
        <w:t>References:</w:t>
      </w:r>
    </w:p>
    <w:p w14:paraId="4A780578" w14:textId="77777777" w:rsidR="00A016A8" w:rsidRPr="00574292" w:rsidRDefault="00A016A8" w:rsidP="008F5306">
      <w:pPr>
        <w:pStyle w:val="EndNoteBibliography"/>
        <w:spacing w:after="80"/>
        <w:rPr>
          <w:rFonts w:ascii="Arial" w:hAnsi="Arial" w:cs="Arial"/>
        </w:rPr>
      </w:pPr>
      <w:r w:rsidRPr="00574292">
        <w:rPr>
          <w:rFonts w:ascii="Arial" w:hAnsi="Arial" w:cs="Arial"/>
        </w:rPr>
        <w:fldChar w:fldCharType="begin"/>
      </w:r>
      <w:r w:rsidRPr="00574292">
        <w:rPr>
          <w:rFonts w:ascii="Arial" w:hAnsi="Arial" w:cs="Arial"/>
        </w:rPr>
        <w:instrText xml:space="preserve"> ADDIN EN.REFLIST </w:instrText>
      </w:r>
      <w:r w:rsidRPr="00574292">
        <w:rPr>
          <w:rFonts w:ascii="Arial" w:hAnsi="Arial" w:cs="Arial"/>
        </w:rPr>
        <w:fldChar w:fldCharType="separate"/>
      </w:r>
      <w:r w:rsidRPr="00574292">
        <w:rPr>
          <w:rFonts w:ascii="Arial" w:hAnsi="Arial" w:cs="Arial"/>
        </w:rPr>
        <w:t>1.</w:t>
      </w:r>
      <w:r w:rsidRPr="00574292">
        <w:rPr>
          <w:rFonts w:ascii="Arial" w:hAnsi="Arial" w:cs="Arial"/>
        </w:rPr>
        <w:tab/>
        <w:t xml:space="preserve">Schade R, Butler DSC, McKenna JA, Di Luccia B, Shokoohi V, Hamblin M, Pham THM, Monack DM. Transcriptional profiling links unique human macrophage phenotypes to the growth of intracellular </w:t>
      </w:r>
      <w:r w:rsidRPr="00574292">
        <w:rPr>
          <w:rFonts w:ascii="Arial" w:hAnsi="Arial" w:cs="Arial"/>
          <w:i/>
          <w:iCs/>
        </w:rPr>
        <w:t>Salmonella enterica</w:t>
      </w:r>
      <w:r w:rsidRPr="00574292">
        <w:rPr>
          <w:rFonts w:ascii="Arial" w:hAnsi="Arial" w:cs="Arial"/>
        </w:rPr>
        <w:t xml:space="preserve"> serovar Typhi. Sci Rep. 2024;14(1):12811. Epub 20240604. doi: 10.1038/s41598-024-63588-6. PubMed PMID: 38834738; PMCID: PMC11150401.</w:t>
      </w:r>
    </w:p>
    <w:p w14:paraId="0A87C5C3" w14:textId="41D2AE5D" w:rsidR="00CD4786" w:rsidRPr="00574292" w:rsidRDefault="00A016A8" w:rsidP="008F5306">
      <w:pPr>
        <w:spacing w:after="80"/>
        <w:rPr>
          <w:rFonts w:ascii="Arial" w:hAnsi="Arial" w:cs="Arial"/>
        </w:rPr>
      </w:pPr>
      <w:r w:rsidRPr="00574292">
        <w:rPr>
          <w:rFonts w:ascii="Arial" w:hAnsi="Arial" w:cs="Arial"/>
        </w:rPr>
        <w:fldChar w:fldCharType="end"/>
      </w:r>
    </w:p>
    <w:sectPr w:rsidR="00CD4786" w:rsidRPr="005742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3MDMxMDY3MrK0NDRS0lEKTi0uzszPAykwrAUAZVZqa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IH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9535F4"/>
    <w:rsid w:val="00004533"/>
    <w:rsid w:val="00033ECF"/>
    <w:rsid w:val="0004764B"/>
    <w:rsid w:val="000657AB"/>
    <w:rsid w:val="00086AF0"/>
    <w:rsid w:val="00095687"/>
    <w:rsid w:val="000C740F"/>
    <w:rsid w:val="000F66DA"/>
    <w:rsid w:val="0010543E"/>
    <w:rsid w:val="00115C07"/>
    <w:rsid w:val="00140E31"/>
    <w:rsid w:val="001417C4"/>
    <w:rsid w:val="00162F81"/>
    <w:rsid w:val="00165EED"/>
    <w:rsid w:val="001B6177"/>
    <w:rsid w:val="001E5C4E"/>
    <w:rsid w:val="00206336"/>
    <w:rsid w:val="00224E62"/>
    <w:rsid w:val="00236E0A"/>
    <w:rsid w:val="0026464A"/>
    <w:rsid w:val="00282E5D"/>
    <w:rsid w:val="00286D4F"/>
    <w:rsid w:val="002A3D89"/>
    <w:rsid w:val="002A501F"/>
    <w:rsid w:val="002D196D"/>
    <w:rsid w:val="002E2621"/>
    <w:rsid w:val="002F29FF"/>
    <w:rsid w:val="002F414A"/>
    <w:rsid w:val="003131B8"/>
    <w:rsid w:val="00337A1E"/>
    <w:rsid w:val="003702B4"/>
    <w:rsid w:val="003742BF"/>
    <w:rsid w:val="003965C7"/>
    <w:rsid w:val="003B63CD"/>
    <w:rsid w:val="003C0C1B"/>
    <w:rsid w:val="003D0F9D"/>
    <w:rsid w:val="003E5ACF"/>
    <w:rsid w:val="003F15BD"/>
    <w:rsid w:val="003F7AA6"/>
    <w:rsid w:val="00411ED3"/>
    <w:rsid w:val="00441F36"/>
    <w:rsid w:val="0045677E"/>
    <w:rsid w:val="0047539A"/>
    <w:rsid w:val="00480346"/>
    <w:rsid w:val="004975C5"/>
    <w:rsid w:val="00497AD2"/>
    <w:rsid w:val="004D0D66"/>
    <w:rsid w:val="004D6597"/>
    <w:rsid w:val="00510989"/>
    <w:rsid w:val="00513B44"/>
    <w:rsid w:val="0051551A"/>
    <w:rsid w:val="00531967"/>
    <w:rsid w:val="00574292"/>
    <w:rsid w:val="005A5F83"/>
    <w:rsid w:val="005C2440"/>
    <w:rsid w:val="00625D63"/>
    <w:rsid w:val="0063533D"/>
    <w:rsid w:val="006441B7"/>
    <w:rsid w:val="006446CC"/>
    <w:rsid w:val="00673A29"/>
    <w:rsid w:val="006740A2"/>
    <w:rsid w:val="006808ED"/>
    <w:rsid w:val="00704BE5"/>
    <w:rsid w:val="007108A4"/>
    <w:rsid w:val="00733510"/>
    <w:rsid w:val="00744299"/>
    <w:rsid w:val="00756654"/>
    <w:rsid w:val="007625F2"/>
    <w:rsid w:val="007C0BB1"/>
    <w:rsid w:val="007E1895"/>
    <w:rsid w:val="007F6F71"/>
    <w:rsid w:val="00805FE0"/>
    <w:rsid w:val="00821708"/>
    <w:rsid w:val="0083772A"/>
    <w:rsid w:val="00850806"/>
    <w:rsid w:val="00874C25"/>
    <w:rsid w:val="008A5495"/>
    <w:rsid w:val="008A726C"/>
    <w:rsid w:val="008B5CF0"/>
    <w:rsid w:val="008D6748"/>
    <w:rsid w:val="008F3BFE"/>
    <w:rsid w:val="008F5306"/>
    <w:rsid w:val="00927C1A"/>
    <w:rsid w:val="009401AB"/>
    <w:rsid w:val="00942A99"/>
    <w:rsid w:val="00950330"/>
    <w:rsid w:val="009535F4"/>
    <w:rsid w:val="009C6D73"/>
    <w:rsid w:val="00A016A8"/>
    <w:rsid w:val="00A133C7"/>
    <w:rsid w:val="00A22D46"/>
    <w:rsid w:val="00A25FF2"/>
    <w:rsid w:val="00A3300E"/>
    <w:rsid w:val="00A44755"/>
    <w:rsid w:val="00A74A8B"/>
    <w:rsid w:val="00A97625"/>
    <w:rsid w:val="00AB1E71"/>
    <w:rsid w:val="00AC6151"/>
    <w:rsid w:val="00AE230E"/>
    <w:rsid w:val="00B00E87"/>
    <w:rsid w:val="00B039EE"/>
    <w:rsid w:val="00B04F37"/>
    <w:rsid w:val="00B16EE7"/>
    <w:rsid w:val="00B22CC7"/>
    <w:rsid w:val="00B975A1"/>
    <w:rsid w:val="00BC1964"/>
    <w:rsid w:val="00BD3A8C"/>
    <w:rsid w:val="00BE4247"/>
    <w:rsid w:val="00C00B68"/>
    <w:rsid w:val="00C30D12"/>
    <w:rsid w:val="00C377A4"/>
    <w:rsid w:val="00C471EE"/>
    <w:rsid w:val="00C9340E"/>
    <w:rsid w:val="00CD4786"/>
    <w:rsid w:val="00CE224D"/>
    <w:rsid w:val="00D2718C"/>
    <w:rsid w:val="00D3161C"/>
    <w:rsid w:val="00D4513D"/>
    <w:rsid w:val="00D71E16"/>
    <w:rsid w:val="00D72C9E"/>
    <w:rsid w:val="00DA3A91"/>
    <w:rsid w:val="00DA7790"/>
    <w:rsid w:val="00DB39F6"/>
    <w:rsid w:val="00DF7A9B"/>
    <w:rsid w:val="00E32165"/>
    <w:rsid w:val="00E379A4"/>
    <w:rsid w:val="00E71AF1"/>
    <w:rsid w:val="00E75B54"/>
    <w:rsid w:val="00EC3B20"/>
    <w:rsid w:val="00EE15F5"/>
    <w:rsid w:val="00EF5DAA"/>
    <w:rsid w:val="00F24645"/>
    <w:rsid w:val="00F263CB"/>
    <w:rsid w:val="00F5081B"/>
    <w:rsid w:val="00F73E3C"/>
    <w:rsid w:val="00F74F76"/>
    <w:rsid w:val="00F8519D"/>
    <w:rsid w:val="00FD2B6C"/>
    <w:rsid w:val="00FE0D46"/>
    <w:rsid w:val="00FE2C9D"/>
    <w:rsid w:val="00FE5AE5"/>
    <w:rsid w:val="00FF782B"/>
    <w:rsid w:val="1F3723FA"/>
    <w:rsid w:val="2045D54D"/>
    <w:rsid w:val="213F6F0A"/>
    <w:rsid w:val="28CFD64C"/>
    <w:rsid w:val="2E46AD84"/>
    <w:rsid w:val="355ED5BB"/>
    <w:rsid w:val="35855040"/>
    <w:rsid w:val="3B512690"/>
    <w:rsid w:val="46CE7467"/>
    <w:rsid w:val="48FB206F"/>
    <w:rsid w:val="4EAA2F85"/>
    <w:rsid w:val="5B44ECD7"/>
    <w:rsid w:val="67726F4D"/>
    <w:rsid w:val="68F8AADC"/>
    <w:rsid w:val="6CD0E7A6"/>
    <w:rsid w:val="6F9B316E"/>
    <w:rsid w:val="74E7363F"/>
    <w:rsid w:val="7E66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9499"/>
  <w15:chartTrackingRefBased/>
  <w15:docId w15:val="{A7C421B6-0CAA-4B80-AE06-5B495D5A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5F4"/>
    <w:pPr>
      <w:spacing w:after="20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535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5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5F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5F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5F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5F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5F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5F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5F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5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5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5F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5F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5F4"/>
    <w:pPr>
      <w:spacing w:before="160" w:after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5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5F4"/>
    <w:pPr>
      <w:spacing w:after="160"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5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5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5F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rsid w:val="009535F4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locked/>
    <w:rsid w:val="009535F4"/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016A8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A016A8"/>
    <w:rPr>
      <w:rFonts w:ascii="Aptos" w:eastAsia="Times New Roman" w:hAnsi="Aptos" w:cs="Times New Roman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016A8"/>
    <w:rPr>
      <w:rFonts w:ascii="Aptos" w:hAnsi="Aptos"/>
      <w:noProof/>
    </w:rPr>
  </w:style>
  <w:style w:type="character" w:customStyle="1" w:styleId="EndNoteBibliographyChar">
    <w:name w:val="EndNote Bibliography Char"/>
    <w:basedOn w:val="NormalWebChar"/>
    <w:link w:val="EndNoteBibliography"/>
    <w:rsid w:val="00A016A8"/>
    <w:rPr>
      <w:rFonts w:ascii="Aptos" w:eastAsia="Times New Roman" w:hAnsi="Aptos" w:cs="Times New Roman"/>
      <w:noProof/>
      <w:sz w:val="24"/>
      <w:szCs w:val="24"/>
    </w:rPr>
  </w:style>
  <w:style w:type="paragraph" w:customStyle="1" w:styleId="014FigureCaption">
    <w:name w:val="014 Figure Caption"/>
    <w:basedOn w:val="Normal"/>
    <w:next w:val="Normal"/>
    <w:rsid w:val="008A5495"/>
    <w:pPr>
      <w:spacing w:after="240"/>
      <w:ind w:left="1080" w:hanging="108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5DAA"/>
    <w:rPr>
      <w:b/>
      <w:bCs/>
    </w:rPr>
  </w:style>
  <w:style w:type="character" w:styleId="Emphasis">
    <w:name w:val="Emphasis"/>
    <w:basedOn w:val="DefaultParagraphFont"/>
    <w:uiPriority w:val="20"/>
    <w:qFormat/>
    <w:rsid w:val="00EF5DAA"/>
    <w:rPr>
      <w:i/>
      <w:iCs/>
    </w:rPr>
  </w:style>
  <w:style w:type="paragraph" w:styleId="Revision">
    <w:name w:val="Revision"/>
    <w:hidden/>
    <w:uiPriority w:val="99"/>
    <w:semiHidden/>
    <w:rsid w:val="00D31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88BD4-7F99-4520-A182-0EECFD27D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2229</Words>
  <Characters>12707</Characters>
  <Application>Microsoft Office Word</Application>
  <DocSecurity>0</DocSecurity>
  <Lines>105</Lines>
  <Paragraphs>29</Paragraphs>
  <ScaleCrop>false</ScaleCrop>
  <Company/>
  <LinksUpToDate>false</LinksUpToDate>
  <CharactersWithSpaces>14907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Ferraro,Mariola J</dc:creator>
  <cp:keywords/>
  <dc:description/>
  <cp:lastModifiedBy>Ferraro,Mariola J</cp:lastModifiedBy>
  <cp:revision>2</cp:revision>
  <dcterms:created xsi:type="dcterms:W3CDTF">2025-08-22T16:03:00Z</dcterms:created>
  <dcterms:modified xsi:type="dcterms:W3CDTF">2025-08-22T16:03:00Z</dcterms:modified>
</cp:coreProperties>
</file>