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E54AB" w14:textId="77777777" w:rsidR="00654E8F" w:rsidRPr="001549D3" w:rsidRDefault="00654E8F" w:rsidP="0001436A">
      <w:pPr>
        <w:pStyle w:val="SupplementaryMaterial"/>
        <w:rPr>
          <w:b w:val="0"/>
        </w:rPr>
      </w:pPr>
      <w:r w:rsidRPr="001549D3">
        <w:t>Supplementary Material</w:t>
      </w:r>
    </w:p>
    <w:p w14:paraId="29026311" w14:textId="68C9DBC6" w:rsidR="00EA3D3C" w:rsidRPr="00994A3D" w:rsidRDefault="00654E8F" w:rsidP="0001436A">
      <w:pPr>
        <w:pStyle w:val="Heading1"/>
      </w:pPr>
      <w:r w:rsidRPr="00994A3D">
        <w:t xml:space="preserve">Supplementary </w:t>
      </w:r>
      <w:r w:rsidR="00413687">
        <w:t xml:space="preserve">Analysis </w:t>
      </w:r>
      <w:r w:rsidR="00413687" w:rsidRPr="00413687">
        <w:t xml:space="preserve">of </w:t>
      </w:r>
      <w:r w:rsidR="00413687">
        <w:t>Y</w:t>
      </w:r>
      <w:r w:rsidR="00413687" w:rsidRPr="00413687">
        <w:t>ear-</w:t>
      </w:r>
      <w:r w:rsidR="00413687">
        <w:t>O</w:t>
      </w:r>
      <w:r w:rsidR="00413687" w:rsidRPr="00413687">
        <w:t>ver-</w:t>
      </w:r>
      <w:r w:rsidR="00413687">
        <w:t>Y</w:t>
      </w:r>
      <w:r w:rsidR="00413687" w:rsidRPr="00413687">
        <w:t xml:space="preserve">ear </w:t>
      </w:r>
      <w:r w:rsidR="00413687">
        <w:t>C</w:t>
      </w:r>
      <w:r w:rsidR="00413687" w:rsidRPr="00413687">
        <w:t xml:space="preserve">hanges in </w:t>
      </w:r>
      <w:r w:rsidR="00413687">
        <w:t>R</w:t>
      </w:r>
      <w:r w:rsidR="00413687" w:rsidRPr="00413687">
        <w:t xml:space="preserve">ates of </w:t>
      </w:r>
      <w:r w:rsidR="00413687">
        <w:t>C</w:t>
      </w:r>
      <w:r w:rsidR="00413687" w:rsidRPr="00413687">
        <w:t xml:space="preserve">annabis </w:t>
      </w:r>
      <w:r w:rsidR="00413687">
        <w:t>H</w:t>
      </w:r>
      <w:r w:rsidR="00413687" w:rsidRPr="00413687">
        <w:t xml:space="preserve">yperemesis </w:t>
      </w:r>
      <w:r w:rsidR="00413687">
        <w:t>S</w:t>
      </w:r>
      <w:r w:rsidR="00413687" w:rsidRPr="00413687">
        <w:t xml:space="preserve">yndrome </w:t>
      </w:r>
      <w:r w:rsidR="00413687">
        <w:t>H</w:t>
      </w:r>
      <w:r w:rsidR="00413687" w:rsidRPr="00413687">
        <w:t>ospitalization</w:t>
      </w:r>
    </w:p>
    <w:p w14:paraId="3D1FBA50" w14:textId="77777777" w:rsidR="00413687" w:rsidRDefault="00413687" w:rsidP="00413687">
      <w:pPr>
        <w:pStyle w:val="Heading2"/>
      </w:pPr>
      <w:r w:rsidRPr="00413687">
        <w:t xml:space="preserve">Purpose </w:t>
      </w:r>
    </w:p>
    <w:p w14:paraId="7E7D3CD7" w14:textId="58227643" w:rsidR="00413687" w:rsidRPr="00413687" w:rsidRDefault="00413687" w:rsidP="00413687">
      <w:pPr>
        <w:rPr>
          <w:rFonts w:cs="Times New Roman"/>
          <w:szCs w:val="24"/>
        </w:rPr>
      </w:pPr>
      <w:r>
        <w:rPr>
          <w:rFonts w:cs="Times New Roman"/>
          <w:szCs w:val="24"/>
        </w:rPr>
        <w:t>T</w:t>
      </w:r>
      <w:r w:rsidRPr="00413687">
        <w:rPr>
          <w:rFonts w:cs="Times New Roman"/>
          <w:szCs w:val="24"/>
        </w:rPr>
        <w:t xml:space="preserve">o determine the change in rates of CHS hospitalization year-over-year, and whether these changes are statistically significant. This secondary analysis was conducted to supplement the original analysis in the manuscript, which uses a more robust methodology to identify key changes in the data over the whole study period.  </w:t>
      </w:r>
    </w:p>
    <w:p w14:paraId="25F8B42B" w14:textId="77777777" w:rsidR="00413687" w:rsidRPr="00413687" w:rsidRDefault="00413687" w:rsidP="00413687">
      <w:pPr>
        <w:pStyle w:val="Heading2"/>
        <w:rPr>
          <w:rStyle w:val="Heading2Char"/>
          <w:b/>
        </w:rPr>
      </w:pPr>
      <w:r w:rsidRPr="00413687">
        <w:rPr>
          <w:rStyle w:val="Heading2Char"/>
          <w:b/>
        </w:rPr>
        <w:t>Methods</w:t>
      </w:r>
    </w:p>
    <w:p w14:paraId="2594122C" w14:textId="72A45909" w:rsidR="00413687" w:rsidRPr="00413687" w:rsidRDefault="00413687" w:rsidP="00413687">
      <w:pPr>
        <w:rPr>
          <w:rFonts w:cs="Times New Roman"/>
          <w:szCs w:val="24"/>
        </w:rPr>
      </w:pPr>
      <w:r w:rsidRPr="00413687">
        <w:rPr>
          <w:rFonts w:cs="Times New Roman"/>
          <w:szCs w:val="24"/>
        </w:rPr>
        <w:t>A generalized linear mixed model (GLMM) was used to evaluate the effect of fiscal year (FY) on the rate of CHS hospitalization and determine the statistical significance of the change in rate year-over-year. The analysis was performed using the PROC GLIMMIX procedure in SAS EG 7.1.</w:t>
      </w:r>
    </w:p>
    <w:p w14:paraId="3C89E472" w14:textId="77777777" w:rsidR="00413687" w:rsidRPr="00413687" w:rsidRDefault="00413687" w:rsidP="00413687">
      <w:pPr>
        <w:pStyle w:val="ListParagraph"/>
        <w:numPr>
          <w:ilvl w:val="0"/>
          <w:numId w:val="20"/>
        </w:numPr>
        <w:spacing w:before="0" w:after="160"/>
      </w:pPr>
      <w:r w:rsidRPr="00413687">
        <w:t>Model specification: The outcome variable was the count of cases out of the total population for each FY, modeled with a binomial distribution and logit link function.</w:t>
      </w:r>
    </w:p>
    <w:p w14:paraId="110DC7AD" w14:textId="77777777" w:rsidR="00413687" w:rsidRPr="00413687" w:rsidRDefault="00413687" w:rsidP="00413687">
      <w:pPr>
        <w:pStyle w:val="ListParagraph"/>
        <w:numPr>
          <w:ilvl w:val="0"/>
          <w:numId w:val="20"/>
        </w:numPr>
        <w:spacing w:before="0" w:after="160"/>
      </w:pPr>
      <w:r w:rsidRPr="00413687">
        <w:t>Fixed effects: FY was included as a categorical fixed effect.</w:t>
      </w:r>
    </w:p>
    <w:p w14:paraId="58B1FEA7" w14:textId="77777777" w:rsidR="00413687" w:rsidRPr="00413687" w:rsidRDefault="00413687" w:rsidP="00413687">
      <w:pPr>
        <w:pStyle w:val="ListParagraph"/>
        <w:numPr>
          <w:ilvl w:val="0"/>
          <w:numId w:val="20"/>
        </w:numPr>
        <w:spacing w:before="0" w:after="160"/>
      </w:pPr>
      <w:r w:rsidRPr="00413687">
        <w:t>Estimation: Least squares means (LS-means) of the FY effect were computed to estimate the mean proportion of cases for each FY.</w:t>
      </w:r>
    </w:p>
    <w:p w14:paraId="3F833F75" w14:textId="77777777" w:rsidR="00413687" w:rsidRPr="00413687" w:rsidRDefault="00413687" w:rsidP="00413687">
      <w:pPr>
        <w:pStyle w:val="ListParagraph"/>
        <w:numPr>
          <w:ilvl w:val="0"/>
          <w:numId w:val="20"/>
        </w:numPr>
        <w:spacing w:before="0" w:after="160"/>
      </w:pPr>
      <w:r w:rsidRPr="00413687">
        <w:t>Multiple comparisons adjustment: Pairwise comparisons among FY LS-means were performed using Tukey’s method to control for type I error due to multiple testing.</w:t>
      </w:r>
    </w:p>
    <w:p w14:paraId="29264FD6" w14:textId="77777777" w:rsidR="00413687" w:rsidRPr="00413687" w:rsidRDefault="00413687" w:rsidP="00413687">
      <w:pPr>
        <w:pStyle w:val="ListParagraph"/>
        <w:numPr>
          <w:ilvl w:val="0"/>
          <w:numId w:val="20"/>
        </w:numPr>
        <w:spacing w:before="0" w:after="160"/>
      </w:pPr>
      <w:r w:rsidRPr="00413687">
        <w:t>Outputs: The model provided adjusted p-values for differences between FYs, along with confidence intervals for the LS-means differences.</w:t>
      </w:r>
    </w:p>
    <w:p w14:paraId="2A3A8DE9" w14:textId="77777777" w:rsidR="00413687" w:rsidRDefault="00413687" w:rsidP="00413687">
      <w:pPr>
        <w:pStyle w:val="Heading2"/>
      </w:pPr>
      <w:r w:rsidRPr="00413687">
        <w:t>Results</w:t>
      </w:r>
      <w:bookmarkStart w:id="0" w:name="_Hlk208321228"/>
    </w:p>
    <w:p w14:paraId="3DD18089" w14:textId="2630690B" w:rsidR="00413687" w:rsidRDefault="00413687" w:rsidP="00413687">
      <w:pPr>
        <w:rPr>
          <w:rFonts w:cs="Times New Roman"/>
          <w:szCs w:val="24"/>
        </w:rPr>
      </w:pPr>
      <w:r w:rsidRPr="00413687">
        <w:rPr>
          <w:rFonts w:cs="Times New Roman"/>
          <w:szCs w:val="24"/>
        </w:rPr>
        <w:t>Fiscal year has a statistically significant overall effect on the rate of CHS hospitalization (p = &lt;.0001). Pairwise comparisons indicate significant changes in the rate of CHS hospitalization year-over year, except from FY 2020-21 to FY 2021-22.</w:t>
      </w:r>
      <w:bookmarkEnd w:id="0"/>
    </w:p>
    <w:p w14:paraId="73C48010" w14:textId="6DE78538" w:rsidR="00413687" w:rsidRDefault="00413687" w:rsidP="00413687">
      <w:pPr>
        <w:pStyle w:val="NoSpacing"/>
      </w:pPr>
      <w:r w:rsidRPr="00413687">
        <w:rPr>
          <w:b/>
          <w:bCs/>
        </w:rPr>
        <w:t>Supplementary Table 1.</w:t>
      </w:r>
      <w:r>
        <w:t xml:space="preserve"> </w:t>
      </w:r>
      <w:r w:rsidRPr="00413687">
        <w:t>Year-Over-Year Changes in Rates of Cannabis Hyperemesis Syndrome Hospitalization</w:t>
      </w:r>
    </w:p>
    <w:p w14:paraId="14E922B0" w14:textId="77777777" w:rsidR="00CD56D3" w:rsidRPr="00413687" w:rsidRDefault="00CD56D3" w:rsidP="00413687">
      <w:pPr>
        <w:pStyle w:val="NoSpacing"/>
        <w:rPr>
          <w:b/>
          <w:bCs/>
        </w:rPr>
      </w:pPr>
    </w:p>
    <w:tbl>
      <w:tblPr>
        <w:tblStyle w:val="TableGrid"/>
        <w:tblW w:w="0" w:type="auto"/>
        <w:tblLook w:val="04A0" w:firstRow="1" w:lastRow="0" w:firstColumn="1" w:lastColumn="0" w:noHBand="0" w:noVBand="1"/>
      </w:tblPr>
      <w:tblGrid>
        <w:gridCol w:w="1555"/>
        <w:gridCol w:w="2820"/>
        <w:gridCol w:w="1857"/>
        <w:gridCol w:w="3118"/>
      </w:tblGrid>
      <w:tr w:rsidR="00413687" w:rsidRPr="00CD56D3" w14:paraId="5A0C96DC" w14:textId="77777777" w:rsidTr="0082400B">
        <w:tc>
          <w:tcPr>
            <w:tcW w:w="1555" w:type="dxa"/>
          </w:tcPr>
          <w:p w14:paraId="293CDFAA" w14:textId="77777777" w:rsidR="00413687" w:rsidRPr="00CD56D3" w:rsidRDefault="00413687" w:rsidP="0082400B">
            <w:pPr>
              <w:rPr>
                <w:rFonts w:cs="Times New Roman"/>
                <w:szCs w:val="24"/>
              </w:rPr>
            </w:pPr>
            <w:r w:rsidRPr="00CD56D3">
              <w:rPr>
                <w:rFonts w:cs="Times New Roman"/>
                <w:szCs w:val="24"/>
              </w:rPr>
              <w:t>Fiscal year</w:t>
            </w:r>
          </w:p>
        </w:tc>
        <w:tc>
          <w:tcPr>
            <w:tcW w:w="2820" w:type="dxa"/>
          </w:tcPr>
          <w:p w14:paraId="1F5D32B5" w14:textId="2E79B3D5" w:rsidR="00413687" w:rsidRPr="00CD56D3" w:rsidRDefault="00413687" w:rsidP="0082400B">
            <w:pPr>
              <w:rPr>
                <w:rFonts w:cs="Times New Roman"/>
                <w:szCs w:val="24"/>
              </w:rPr>
            </w:pPr>
            <w:r w:rsidRPr="00CD56D3">
              <w:rPr>
                <w:rFonts w:cs="Times New Roman"/>
                <w:szCs w:val="24"/>
              </w:rPr>
              <w:t xml:space="preserve">Overall rate of CHS </w:t>
            </w:r>
            <w:r w:rsidR="00CD56D3" w:rsidRPr="00CD56D3">
              <w:rPr>
                <w:rFonts w:cs="Times New Roman"/>
                <w:szCs w:val="24"/>
              </w:rPr>
              <w:t>hospitalization</w:t>
            </w:r>
          </w:p>
          <w:p w14:paraId="556F1B33" w14:textId="77777777" w:rsidR="00413687" w:rsidRPr="00CD56D3" w:rsidRDefault="00413687" w:rsidP="0082400B">
            <w:pPr>
              <w:rPr>
                <w:rFonts w:cs="Times New Roman"/>
                <w:szCs w:val="24"/>
              </w:rPr>
            </w:pPr>
            <w:r w:rsidRPr="00CD56D3">
              <w:rPr>
                <w:rFonts w:cs="Times New Roman"/>
                <w:szCs w:val="24"/>
              </w:rPr>
              <w:t>(per 100,000 population)</w:t>
            </w:r>
          </w:p>
        </w:tc>
        <w:tc>
          <w:tcPr>
            <w:tcW w:w="1857" w:type="dxa"/>
          </w:tcPr>
          <w:p w14:paraId="22735E61" w14:textId="77777777" w:rsidR="00413687" w:rsidRPr="00CD56D3" w:rsidRDefault="00413687" w:rsidP="0082400B">
            <w:pPr>
              <w:rPr>
                <w:rFonts w:cs="Times New Roman"/>
                <w:szCs w:val="24"/>
              </w:rPr>
            </w:pPr>
            <w:r w:rsidRPr="00CD56D3">
              <w:rPr>
                <w:rFonts w:cs="Times New Roman"/>
                <w:szCs w:val="24"/>
              </w:rPr>
              <w:t>Relative change in rate (%)</w:t>
            </w:r>
          </w:p>
        </w:tc>
        <w:tc>
          <w:tcPr>
            <w:tcW w:w="3118" w:type="dxa"/>
          </w:tcPr>
          <w:p w14:paraId="3EF86377" w14:textId="77777777" w:rsidR="00413687" w:rsidRPr="00CD56D3" w:rsidRDefault="00413687" w:rsidP="0082400B">
            <w:pPr>
              <w:rPr>
                <w:rFonts w:cs="Times New Roman"/>
                <w:szCs w:val="24"/>
              </w:rPr>
            </w:pPr>
            <w:r w:rsidRPr="00CD56D3">
              <w:rPr>
                <w:rFonts w:cs="Times New Roman"/>
                <w:szCs w:val="24"/>
              </w:rPr>
              <w:t>Statistically significant from previous year (Yes/No,  adjusted p-value)</w:t>
            </w:r>
          </w:p>
        </w:tc>
      </w:tr>
      <w:tr w:rsidR="00413687" w:rsidRPr="00CD56D3" w14:paraId="0E2BDDAA" w14:textId="77777777" w:rsidTr="0082400B">
        <w:tc>
          <w:tcPr>
            <w:tcW w:w="1555" w:type="dxa"/>
          </w:tcPr>
          <w:p w14:paraId="30044C77" w14:textId="6C1E6934" w:rsidR="00413687" w:rsidRPr="00CD56D3" w:rsidRDefault="00413687" w:rsidP="0082400B">
            <w:pPr>
              <w:rPr>
                <w:rFonts w:cs="Times New Roman"/>
                <w:szCs w:val="24"/>
              </w:rPr>
            </w:pPr>
            <w:r w:rsidRPr="00CD56D3">
              <w:rPr>
                <w:rFonts w:cs="Times New Roman"/>
                <w:szCs w:val="24"/>
              </w:rPr>
              <w:t>2024</w:t>
            </w:r>
            <w:r w:rsidR="00FE3337" w:rsidRPr="00FE3337">
              <w:rPr>
                <w:rFonts w:cs="Times New Roman"/>
                <w:szCs w:val="24"/>
              </w:rPr>
              <w:t>–</w:t>
            </w:r>
            <w:r w:rsidRPr="00CD56D3">
              <w:rPr>
                <w:rFonts w:cs="Times New Roman"/>
                <w:szCs w:val="24"/>
              </w:rPr>
              <w:t>25</w:t>
            </w:r>
          </w:p>
        </w:tc>
        <w:tc>
          <w:tcPr>
            <w:tcW w:w="2820" w:type="dxa"/>
          </w:tcPr>
          <w:p w14:paraId="2FF64334" w14:textId="77777777" w:rsidR="00413687" w:rsidRPr="00CD56D3" w:rsidRDefault="00413687" w:rsidP="0082400B">
            <w:pPr>
              <w:rPr>
                <w:rFonts w:cs="Times New Roman"/>
                <w:szCs w:val="24"/>
              </w:rPr>
            </w:pPr>
            <w:r w:rsidRPr="00CD56D3">
              <w:rPr>
                <w:rFonts w:cs="Times New Roman"/>
                <w:szCs w:val="24"/>
              </w:rPr>
              <w:t>3.8</w:t>
            </w:r>
          </w:p>
        </w:tc>
        <w:tc>
          <w:tcPr>
            <w:tcW w:w="1857" w:type="dxa"/>
          </w:tcPr>
          <w:p w14:paraId="157CF0CB" w14:textId="77777777" w:rsidR="00413687" w:rsidRPr="00CD56D3" w:rsidRDefault="00413687" w:rsidP="0082400B">
            <w:pPr>
              <w:rPr>
                <w:rFonts w:cs="Times New Roman"/>
                <w:szCs w:val="24"/>
              </w:rPr>
            </w:pPr>
            <w:r w:rsidRPr="00CD56D3">
              <w:rPr>
                <w:rFonts w:cs="Times New Roman"/>
                <w:szCs w:val="24"/>
              </w:rPr>
              <w:t>+11.6</w:t>
            </w:r>
          </w:p>
        </w:tc>
        <w:tc>
          <w:tcPr>
            <w:tcW w:w="3118" w:type="dxa"/>
          </w:tcPr>
          <w:p w14:paraId="752E597C" w14:textId="77777777" w:rsidR="00413687" w:rsidRPr="00CD56D3" w:rsidRDefault="00413687" w:rsidP="0082400B">
            <w:pPr>
              <w:rPr>
                <w:rFonts w:cs="Times New Roman"/>
                <w:szCs w:val="24"/>
              </w:rPr>
            </w:pPr>
            <w:r w:rsidRPr="00CD56D3">
              <w:rPr>
                <w:rFonts w:cs="Times New Roman"/>
                <w:szCs w:val="24"/>
              </w:rPr>
              <w:t>Yes (&lt;.0001)</w:t>
            </w:r>
          </w:p>
        </w:tc>
      </w:tr>
      <w:tr w:rsidR="00413687" w:rsidRPr="00CD56D3" w14:paraId="370FC158" w14:textId="77777777" w:rsidTr="0082400B">
        <w:tc>
          <w:tcPr>
            <w:tcW w:w="1555" w:type="dxa"/>
          </w:tcPr>
          <w:p w14:paraId="43E380B9" w14:textId="5B7DD5BC" w:rsidR="00413687" w:rsidRPr="00CD56D3" w:rsidRDefault="00413687" w:rsidP="0082400B">
            <w:pPr>
              <w:rPr>
                <w:rFonts w:cs="Times New Roman"/>
                <w:szCs w:val="24"/>
              </w:rPr>
            </w:pPr>
            <w:r w:rsidRPr="00CD56D3">
              <w:rPr>
                <w:rFonts w:cs="Times New Roman"/>
                <w:szCs w:val="24"/>
              </w:rPr>
              <w:lastRenderedPageBreak/>
              <w:t>2023</w:t>
            </w:r>
            <w:r w:rsidR="00FE3337" w:rsidRPr="00FE3337">
              <w:rPr>
                <w:rFonts w:cs="Times New Roman"/>
                <w:szCs w:val="24"/>
              </w:rPr>
              <w:t>–</w:t>
            </w:r>
            <w:r w:rsidRPr="00CD56D3">
              <w:rPr>
                <w:rFonts w:cs="Times New Roman"/>
                <w:szCs w:val="24"/>
              </w:rPr>
              <w:t>24</w:t>
            </w:r>
          </w:p>
        </w:tc>
        <w:tc>
          <w:tcPr>
            <w:tcW w:w="2820" w:type="dxa"/>
          </w:tcPr>
          <w:p w14:paraId="09CE1B5E" w14:textId="77777777" w:rsidR="00413687" w:rsidRPr="00CD56D3" w:rsidRDefault="00413687" w:rsidP="0082400B">
            <w:pPr>
              <w:rPr>
                <w:rFonts w:cs="Times New Roman"/>
                <w:szCs w:val="24"/>
              </w:rPr>
            </w:pPr>
            <w:r w:rsidRPr="00CD56D3">
              <w:rPr>
                <w:rFonts w:cs="Times New Roman"/>
                <w:szCs w:val="24"/>
              </w:rPr>
              <w:t>3.4</w:t>
            </w:r>
          </w:p>
        </w:tc>
        <w:tc>
          <w:tcPr>
            <w:tcW w:w="1857" w:type="dxa"/>
          </w:tcPr>
          <w:p w14:paraId="42FC96AD" w14:textId="77777777" w:rsidR="00413687" w:rsidRPr="00CD56D3" w:rsidRDefault="00413687" w:rsidP="0082400B">
            <w:pPr>
              <w:rPr>
                <w:rFonts w:cs="Times New Roman"/>
                <w:szCs w:val="24"/>
              </w:rPr>
            </w:pPr>
            <w:r w:rsidRPr="00CD56D3">
              <w:rPr>
                <w:rFonts w:cs="Times New Roman"/>
                <w:szCs w:val="24"/>
              </w:rPr>
              <w:t>+12.0</w:t>
            </w:r>
          </w:p>
        </w:tc>
        <w:tc>
          <w:tcPr>
            <w:tcW w:w="3118" w:type="dxa"/>
          </w:tcPr>
          <w:p w14:paraId="6F2D4728" w14:textId="77777777" w:rsidR="00413687" w:rsidRPr="00CD56D3" w:rsidRDefault="00413687" w:rsidP="0082400B">
            <w:pPr>
              <w:rPr>
                <w:rFonts w:cs="Times New Roman"/>
                <w:szCs w:val="24"/>
              </w:rPr>
            </w:pPr>
            <w:r w:rsidRPr="00CD56D3">
              <w:rPr>
                <w:rFonts w:cs="Times New Roman"/>
                <w:szCs w:val="24"/>
              </w:rPr>
              <w:t>Yes (&lt;.0001)</w:t>
            </w:r>
          </w:p>
        </w:tc>
      </w:tr>
      <w:tr w:rsidR="00413687" w:rsidRPr="00CD56D3" w14:paraId="7F582DAD" w14:textId="77777777" w:rsidTr="0082400B">
        <w:tc>
          <w:tcPr>
            <w:tcW w:w="1555" w:type="dxa"/>
          </w:tcPr>
          <w:p w14:paraId="72791186" w14:textId="075C2B26" w:rsidR="00413687" w:rsidRPr="00CD56D3" w:rsidRDefault="00413687" w:rsidP="0082400B">
            <w:pPr>
              <w:rPr>
                <w:rFonts w:cs="Times New Roman"/>
                <w:szCs w:val="24"/>
              </w:rPr>
            </w:pPr>
            <w:r w:rsidRPr="00CD56D3">
              <w:rPr>
                <w:rFonts w:cs="Times New Roman"/>
                <w:szCs w:val="24"/>
              </w:rPr>
              <w:t>2022</w:t>
            </w:r>
            <w:r w:rsidR="00FE3337" w:rsidRPr="00FE3337">
              <w:rPr>
                <w:rFonts w:cs="Times New Roman"/>
                <w:szCs w:val="24"/>
              </w:rPr>
              <w:t>–</w:t>
            </w:r>
            <w:r w:rsidRPr="00CD56D3">
              <w:rPr>
                <w:rFonts w:cs="Times New Roman"/>
                <w:szCs w:val="24"/>
              </w:rPr>
              <w:t>23</w:t>
            </w:r>
          </w:p>
        </w:tc>
        <w:tc>
          <w:tcPr>
            <w:tcW w:w="2820" w:type="dxa"/>
          </w:tcPr>
          <w:p w14:paraId="29A2499A" w14:textId="77777777" w:rsidR="00413687" w:rsidRPr="00CD56D3" w:rsidRDefault="00413687" w:rsidP="0082400B">
            <w:pPr>
              <w:rPr>
                <w:rFonts w:cs="Times New Roman"/>
                <w:szCs w:val="24"/>
              </w:rPr>
            </w:pPr>
            <w:r w:rsidRPr="00CD56D3">
              <w:rPr>
                <w:rFonts w:cs="Times New Roman"/>
                <w:szCs w:val="24"/>
              </w:rPr>
              <w:t>3.0</w:t>
            </w:r>
          </w:p>
        </w:tc>
        <w:tc>
          <w:tcPr>
            <w:tcW w:w="1857" w:type="dxa"/>
          </w:tcPr>
          <w:p w14:paraId="51EE5F9A" w14:textId="77777777" w:rsidR="00413687" w:rsidRPr="00CD56D3" w:rsidRDefault="00413687" w:rsidP="0082400B">
            <w:pPr>
              <w:rPr>
                <w:rFonts w:cs="Times New Roman"/>
                <w:szCs w:val="24"/>
              </w:rPr>
            </w:pPr>
            <w:r w:rsidRPr="00CD56D3">
              <w:rPr>
                <w:rFonts w:cs="Times New Roman"/>
                <w:szCs w:val="24"/>
              </w:rPr>
              <w:t>-13.1</w:t>
            </w:r>
          </w:p>
        </w:tc>
        <w:tc>
          <w:tcPr>
            <w:tcW w:w="3118" w:type="dxa"/>
          </w:tcPr>
          <w:p w14:paraId="40D67BCD" w14:textId="77777777" w:rsidR="00413687" w:rsidRPr="00CD56D3" w:rsidRDefault="00413687" w:rsidP="0082400B">
            <w:pPr>
              <w:rPr>
                <w:rFonts w:cs="Times New Roman"/>
                <w:szCs w:val="24"/>
              </w:rPr>
            </w:pPr>
            <w:r w:rsidRPr="00CD56D3">
              <w:rPr>
                <w:rFonts w:cs="Times New Roman"/>
                <w:szCs w:val="24"/>
              </w:rPr>
              <w:t>Yes (.0008)</w:t>
            </w:r>
          </w:p>
        </w:tc>
      </w:tr>
      <w:tr w:rsidR="00413687" w:rsidRPr="00CD56D3" w14:paraId="1C051C9F" w14:textId="77777777" w:rsidTr="0082400B">
        <w:tc>
          <w:tcPr>
            <w:tcW w:w="1555" w:type="dxa"/>
          </w:tcPr>
          <w:p w14:paraId="74DD4D9D" w14:textId="4629915E" w:rsidR="00413687" w:rsidRPr="00CD56D3" w:rsidRDefault="00413687" w:rsidP="0082400B">
            <w:pPr>
              <w:rPr>
                <w:rFonts w:cs="Times New Roman"/>
                <w:szCs w:val="24"/>
              </w:rPr>
            </w:pPr>
            <w:r w:rsidRPr="00CD56D3">
              <w:rPr>
                <w:rFonts w:cs="Times New Roman"/>
                <w:szCs w:val="24"/>
              </w:rPr>
              <w:t>2021</w:t>
            </w:r>
            <w:r w:rsidR="00FE3337" w:rsidRPr="00FE3337">
              <w:rPr>
                <w:rFonts w:cs="Times New Roman"/>
                <w:szCs w:val="24"/>
              </w:rPr>
              <w:t>–</w:t>
            </w:r>
            <w:r w:rsidRPr="00CD56D3">
              <w:rPr>
                <w:rFonts w:cs="Times New Roman"/>
                <w:szCs w:val="24"/>
              </w:rPr>
              <w:t>22</w:t>
            </w:r>
          </w:p>
        </w:tc>
        <w:tc>
          <w:tcPr>
            <w:tcW w:w="2820" w:type="dxa"/>
          </w:tcPr>
          <w:p w14:paraId="68F78555" w14:textId="77777777" w:rsidR="00413687" w:rsidRPr="00CD56D3" w:rsidRDefault="00413687" w:rsidP="0082400B">
            <w:pPr>
              <w:rPr>
                <w:rFonts w:cs="Times New Roman"/>
                <w:szCs w:val="24"/>
              </w:rPr>
            </w:pPr>
            <w:r w:rsidRPr="00CD56D3">
              <w:rPr>
                <w:rFonts w:cs="Times New Roman"/>
                <w:szCs w:val="24"/>
              </w:rPr>
              <w:t>3.5</w:t>
            </w:r>
          </w:p>
        </w:tc>
        <w:tc>
          <w:tcPr>
            <w:tcW w:w="1857" w:type="dxa"/>
          </w:tcPr>
          <w:p w14:paraId="7AC2ED1C" w14:textId="77777777" w:rsidR="00413687" w:rsidRPr="00CD56D3" w:rsidRDefault="00413687" w:rsidP="0082400B">
            <w:pPr>
              <w:rPr>
                <w:rFonts w:cs="Times New Roman"/>
                <w:szCs w:val="24"/>
              </w:rPr>
            </w:pPr>
            <w:r w:rsidRPr="00CD56D3">
              <w:rPr>
                <w:rFonts w:cs="Times New Roman"/>
                <w:szCs w:val="24"/>
              </w:rPr>
              <w:t>+1.3</w:t>
            </w:r>
          </w:p>
        </w:tc>
        <w:tc>
          <w:tcPr>
            <w:tcW w:w="3118" w:type="dxa"/>
          </w:tcPr>
          <w:p w14:paraId="230F4635" w14:textId="77777777" w:rsidR="00413687" w:rsidRPr="00CD56D3" w:rsidRDefault="00413687" w:rsidP="0082400B">
            <w:pPr>
              <w:rPr>
                <w:rFonts w:cs="Times New Roman"/>
                <w:szCs w:val="24"/>
              </w:rPr>
            </w:pPr>
            <w:r w:rsidRPr="00CD56D3">
              <w:rPr>
                <w:rFonts w:cs="Times New Roman"/>
                <w:szCs w:val="24"/>
              </w:rPr>
              <w:t>No (.9999)</w:t>
            </w:r>
          </w:p>
        </w:tc>
      </w:tr>
      <w:tr w:rsidR="00413687" w:rsidRPr="00CD56D3" w14:paraId="12A41FC7" w14:textId="77777777" w:rsidTr="0082400B">
        <w:tc>
          <w:tcPr>
            <w:tcW w:w="1555" w:type="dxa"/>
          </w:tcPr>
          <w:p w14:paraId="0B27D08A" w14:textId="34139576" w:rsidR="00413687" w:rsidRPr="00CD56D3" w:rsidRDefault="00413687" w:rsidP="0082400B">
            <w:pPr>
              <w:rPr>
                <w:rFonts w:cs="Times New Roman"/>
                <w:szCs w:val="24"/>
              </w:rPr>
            </w:pPr>
            <w:r w:rsidRPr="00CD56D3">
              <w:rPr>
                <w:rFonts w:cs="Times New Roman"/>
                <w:szCs w:val="24"/>
              </w:rPr>
              <w:t>2020</w:t>
            </w:r>
            <w:r w:rsidR="00FE3337" w:rsidRPr="00FE3337">
              <w:rPr>
                <w:rFonts w:cs="Times New Roman"/>
                <w:szCs w:val="24"/>
              </w:rPr>
              <w:t>–</w:t>
            </w:r>
            <w:r w:rsidRPr="00CD56D3">
              <w:rPr>
                <w:rFonts w:cs="Times New Roman"/>
                <w:szCs w:val="24"/>
              </w:rPr>
              <w:t>21</w:t>
            </w:r>
          </w:p>
        </w:tc>
        <w:tc>
          <w:tcPr>
            <w:tcW w:w="2820" w:type="dxa"/>
          </w:tcPr>
          <w:p w14:paraId="1177EA45" w14:textId="77777777" w:rsidR="00413687" w:rsidRPr="00CD56D3" w:rsidRDefault="00413687" w:rsidP="0082400B">
            <w:pPr>
              <w:rPr>
                <w:rFonts w:cs="Times New Roman"/>
                <w:szCs w:val="24"/>
              </w:rPr>
            </w:pPr>
            <w:r w:rsidRPr="00CD56D3">
              <w:rPr>
                <w:rFonts w:cs="Times New Roman"/>
                <w:szCs w:val="24"/>
              </w:rPr>
              <w:t>3.5</w:t>
            </w:r>
          </w:p>
        </w:tc>
        <w:tc>
          <w:tcPr>
            <w:tcW w:w="1857" w:type="dxa"/>
          </w:tcPr>
          <w:p w14:paraId="40630C05" w14:textId="77777777" w:rsidR="00413687" w:rsidRPr="00CD56D3" w:rsidRDefault="00413687" w:rsidP="0082400B">
            <w:pPr>
              <w:rPr>
                <w:rFonts w:cs="Times New Roman"/>
                <w:szCs w:val="24"/>
              </w:rPr>
            </w:pPr>
            <w:r w:rsidRPr="00CD56D3">
              <w:rPr>
                <w:rFonts w:cs="Times New Roman"/>
                <w:szCs w:val="24"/>
              </w:rPr>
              <w:t>+57.0</w:t>
            </w:r>
          </w:p>
        </w:tc>
        <w:tc>
          <w:tcPr>
            <w:tcW w:w="3118" w:type="dxa"/>
          </w:tcPr>
          <w:p w14:paraId="32D0E313" w14:textId="77777777" w:rsidR="00413687" w:rsidRPr="00CD56D3" w:rsidRDefault="00413687" w:rsidP="0082400B">
            <w:pPr>
              <w:rPr>
                <w:rFonts w:cs="Times New Roman"/>
                <w:szCs w:val="24"/>
              </w:rPr>
            </w:pPr>
            <w:r w:rsidRPr="00CD56D3">
              <w:rPr>
                <w:rFonts w:cs="Times New Roman"/>
                <w:szCs w:val="24"/>
              </w:rPr>
              <w:t>Yes (&lt;.0001)</w:t>
            </w:r>
          </w:p>
        </w:tc>
      </w:tr>
      <w:tr w:rsidR="00413687" w:rsidRPr="00CD56D3" w14:paraId="2E015F59" w14:textId="77777777" w:rsidTr="0082400B">
        <w:tc>
          <w:tcPr>
            <w:tcW w:w="1555" w:type="dxa"/>
          </w:tcPr>
          <w:p w14:paraId="3D63E0E5" w14:textId="0F15F239" w:rsidR="00413687" w:rsidRPr="00CD56D3" w:rsidRDefault="00413687" w:rsidP="0082400B">
            <w:pPr>
              <w:rPr>
                <w:rFonts w:cs="Times New Roman"/>
                <w:szCs w:val="24"/>
              </w:rPr>
            </w:pPr>
            <w:r w:rsidRPr="00CD56D3">
              <w:rPr>
                <w:rFonts w:cs="Times New Roman"/>
                <w:szCs w:val="24"/>
              </w:rPr>
              <w:t>2019</w:t>
            </w:r>
            <w:r w:rsidR="00FE3337" w:rsidRPr="00FE3337">
              <w:rPr>
                <w:rFonts w:cs="Times New Roman"/>
                <w:szCs w:val="24"/>
              </w:rPr>
              <w:t>–</w:t>
            </w:r>
            <w:r w:rsidRPr="00CD56D3">
              <w:rPr>
                <w:rFonts w:cs="Times New Roman"/>
                <w:szCs w:val="24"/>
              </w:rPr>
              <w:t>20</w:t>
            </w:r>
          </w:p>
        </w:tc>
        <w:tc>
          <w:tcPr>
            <w:tcW w:w="2820" w:type="dxa"/>
          </w:tcPr>
          <w:p w14:paraId="3BB79599" w14:textId="77777777" w:rsidR="00413687" w:rsidRPr="00CD56D3" w:rsidRDefault="00413687" w:rsidP="0082400B">
            <w:pPr>
              <w:rPr>
                <w:rFonts w:cs="Times New Roman"/>
                <w:szCs w:val="24"/>
              </w:rPr>
            </w:pPr>
            <w:r w:rsidRPr="00CD56D3">
              <w:rPr>
                <w:rFonts w:cs="Times New Roman"/>
                <w:szCs w:val="24"/>
              </w:rPr>
              <w:t>2.2</w:t>
            </w:r>
          </w:p>
        </w:tc>
        <w:tc>
          <w:tcPr>
            <w:tcW w:w="1857" w:type="dxa"/>
          </w:tcPr>
          <w:p w14:paraId="0CF2D159" w14:textId="77777777" w:rsidR="00413687" w:rsidRPr="00CD56D3" w:rsidRDefault="00413687" w:rsidP="0082400B">
            <w:pPr>
              <w:rPr>
                <w:rFonts w:cs="Times New Roman"/>
                <w:szCs w:val="24"/>
              </w:rPr>
            </w:pPr>
            <w:r w:rsidRPr="00CD56D3">
              <w:rPr>
                <w:rFonts w:cs="Times New Roman"/>
                <w:szCs w:val="24"/>
              </w:rPr>
              <w:t>+13.3</w:t>
            </w:r>
          </w:p>
        </w:tc>
        <w:tc>
          <w:tcPr>
            <w:tcW w:w="3118" w:type="dxa"/>
          </w:tcPr>
          <w:p w14:paraId="5A55F0BD" w14:textId="77777777" w:rsidR="00413687" w:rsidRPr="00CD56D3" w:rsidRDefault="00413687" w:rsidP="0082400B">
            <w:pPr>
              <w:rPr>
                <w:rFonts w:cs="Times New Roman"/>
                <w:szCs w:val="24"/>
              </w:rPr>
            </w:pPr>
            <w:r w:rsidRPr="00CD56D3">
              <w:rPr>
                <w:rFonts w:cs="Times New Roman"/>
                <w:szCs w:val="24"/>
              </w:rPr>
              <w:t>Yes (.0039)</w:t>
            </w:r>
          </w:p>
        </w:tc>
      </w:tr>
      <w:tr w:rsidR="00413687" w:rsidRPr="00CD56D3" w14:paraId="12BA85F4" w14:textId="77777777" w:rsidTr="0082400B">
        <w:tc>
          <w:tcPr>
            <w:tcW w:w="1555" w:type="dxa"/>
          </w:tcPr>
          <w:p w14:paraId="05B3A743" w14:textId="7F5399E2" w:rsidR="00413687" w:rsidRPr="00CD56D3" w:rsidRDefault="00413687" w:rsidP="0082400B">
            <w:pPr>
              <w:rPr>
                <w:rFonts w:cs="Times New Roman"/>
                <w:szCs w:val="24"/>
              </w:rPr>
            </w:pPr>
            <w:r w:rsidRPr="00CD56D3">
              <w:rPr>
                <w:rFonts w:cs="Times New Roman"/>
                <w:szCs w:val="24"/>
              </w:rPr>
              <w:t>2018</w:t>
            </w:r>
            <w:r w:rsidR="00FE3337" w:rsidRPr="00FE3337">
              <w:rPr>
                <w:rFonts w:cs="Times New Roman"/>
                <w:szCs w:val="24"/>
              </w:rPr>
              <w:t>–</w:t>
            </w:r>
            <w:r w:rsidRPr="00CD56D3">
              <w:rPr>
                <w:rFonts w:cs="Times New Roman"/>
                <w:szCs w:val="24"/>
              </w:rPr>
              <w:t>19</w:t>
            </w:r>
          </w:p>
        </w:tc>
        <w:tc>
          <w:tcPr>
            <w:tcW w:w="2820" w:type="dxa"/>
          </w:tcPr>
          <w:p w14:paraId="58246538" w14:textId="77777777" w:rsidR="00413687" w:rsidRPr="00CD56D3" w:rsidRDefault="00413687" w:rsidP="0082400B">
            <w:pPr>
              <w:rPr>
                <w:rFonts w:cs="Times New Roman"/>
                <w:szCs w:val="24"/>
              </w:rPr>
            </w:pPr>
            <w:r w:rsidRPr="00CD56D3">
              <w:rPr>
                <w:rFonts w:cs="Times New Roman"/>
                <w:szCs w:val="24"/>
              </w:rPr>
              <w:t>1.9</w:t>
            </w:r>
          </w:p>
        </w:tc>
        <w:tc>
          <w:tcPr>
            <w:tcW w:w="1857" w:type="dxa"/>
          </w:tcPr>
          <w:p w14:paraId="074BF1CF" w14:textId="77777777" w:rsidR="00413687" w:rsidRPr="00CD56D3" w:rsidRDefault="00413687" w:rsidP="0082400B">
            <w:pPr>
              <w:rPr>
                <w:rFonts w:cs="Times New Roman"/>
                <w:szCs w:val="24"/>
              </w:rPr>
            </w:pPr>
            <w:r w:rsidRPr="00CD56D3">
              <w:rPr>
                <w:rFonts w:cs="Times New Roman"/>
                <w:szCs w:val="24"/>
              </w:rPr>
              <w:t>+11.3</w:t>
            </w:r>
          </w:p>
        </w:tc>
        <w:tc>
          <w:tcPr>
            <w:tcW w:w="3118" w:type="dxa"/>
          </w:tcPr>
          <w:p w14:paraId="07884B39" w14:textId="77777777" w:rsidR="00413687" w:rsidRPr="00CD56D3" w:rsidRDefault="00413687" w:rsidP="0082400B">
            <w:pPr>
              <w:rPr>
                <w:rFonts w:cs="Times New Roman"/>
                <w:szCs w:val="24"/>
              </w:rPr>
            </w:pPr>
            <w:r w:rsidRPr="00CD56D3">
              <w:rPr>
                <w:rFonts w:cs="Times New Roman"/>
                <w:szCs w:val="24"/>
              </w:rPr>
              <w:t>Yes (0.0273)</w:t>
            </w:r>
          </w:p>
        </w:tc>
      </w:tr>
      <w:tr w:rsidR="00413687" w:rsidRPr="00CD56D3" w14:paraId="43A1D171" w14:textId="77777777" w:rsidTr="0082400B">
        <w:tc>
          <w:tcPr>
            <w:tcW w:w="1555" w:type="dxa"/>
          </w:tcPr>
          <w:p w14:paraId="18B1969E" w14:textId="44C8ACDA" w:rsidR="00413687" w:rsidRPr="00CD56D3" w:rsidRDefault="00413687" w:rsidP="0082400B">
            <w:pPr>
              <w:rPr>
                <w:rFonts w:cs="Times New Roman"/>
                <w:szCs w:val="24"/>
              </w:rPr>
            </w:pPr>
            <w:r w:rsidRPr="00CD56D3">
              <w:rPr>
                <w:rFonts w:cs="Times New Roman"/>
                <w:szCs w:val="24"/>
              </w:rPr>
              <w:t>2017</w:t>
            </w:r>
            <w:r w:rsidR="00FE3337" w:rsidRPr="00FE3337">
              <w:rPr>
                <w:rFonts w:cs="Times New Roman"/>
                <w:szCs w:val="24"/>
              </w:rPr>
              <w:t>–</w:t>
            </w:r>
            <w:r w:rsidR="00FE3337">
              <w:rPr>
                <w:rFonts w:cs="Times New Roman"/>
                <w:szCs w:val="24"/>
              </w:rPr>
              <w:t>1</w:t>
            </w:r>
            <w:r w:rsidRPr="00CD56D3">
              <w:rPr>
                <w:rFonts w:cs="Times New Roman"/>
                <w:szCs w:val="24"/>
              </w:rPr>
              <w:t>8</w:t>
            </w:r>
          </w:p>
        </w:tc>
        <w:tc>
          <w:tcPr>
            <w:tcW w:w="2820" w:type="dxa"/>
          </w:tcPr>
          <w:p w14:paraId="6FEBEEFB" w14:textId="77777777" w:rsidR="00413687" w:rsidRPr="00CD56D3" w:rsidRDefault="00413687" w:rsidP="0082400B">
            <w:pPr>
              <w:rPr>
                <w:rFonts w:cs="Times New Roman"/>
                <w:szCs w:val="24"/>
              </w:rPr>
            </w:pPr>
            <w:r w:rsidRPr="00CD56D3">
              <w:rPr>
                <w:rFonts w:cs="Times New Roman"/>
                <w:szCs w:val="24"/>
              </w:rPr>
              <w:t>1.7</w:t>
            </w:r>
          </w:p>
        </w:tc>
        <w:tc>
          <w:tcPr>
            <w:tcW w:w="1857" w:type="dxa"/>
          </w:tcPr>
          <w:p w14:paraId="493C0D3E" w14:textId="77777777" w:rsidR="00413687" w:rsidRPr="00CD56D3" w:rsidRDefault="00413687" w:rsidP="0082400B">
            <w:pPr>
              <w:rPr>
                <w:rFonts w:cs="Times New Roman"/>
                <w:szCs w:val="24"/>
              </w:rPr>
            </w:pPr>
            <w:r w:rsidRPr="00CD56D3">
              <w:rPr>
                <w:rFonts w:cs="Times New Roman"/>
                <w:szCs w:val="24"/>
              </w:rPr>
              <w:t>+19.9</w:t>
            </w:r>
          </w:p>
        </w:tc>
        <w:tc>
          <w:tcPr>
            <w:tcW w:w="3118" w:type="dxa"/>
          </w:tcPr>
          <w:p w14:paraId="1FD4D952" w14:textId="77777777" w:rsidR="00413687" w:rsidRPr="00CD56D3" w:rsidRDefault="00413687" w:rsidP="0082400B">
            <w:pPr>
              <w:rPr>
                <w:rFonts w:cs="Times New Roman"/>
                <w:szCs w:val="24"/>
              </w:rPr>
            </w:pPr>
            <w:r w:rsidRPr="00CD56D3">
              <w:rPr>
                <w:rFonts w:cs="Times New Roman"/>
                <w:szCs w:val="24"/>
              </w:rPr>
              <w:t>Yes (&lt;.0001)</w:t>
            </w:r>
          </w:p>
        </w:tc>
      </w:tr>
      <w:tr w:rsidR="00413687" w:rsidRPr="00CD56D3" w14:paraId="6268ADFC" w14:textId="77777777" w:rsidTr="0082400B">
        <w:tc>
          <w:tcPr>
            <w:tcW w:w="1555" w:type="dxa"/>
          </w:tcPr>
          <w:p w14:paraId="31ECADCC" w14:textId="336FBA13" w:rsidR="00413687" w:rsidRPr="00CD56D3" w:rsidRDefault="00413687" w:rsidP="0082400B">
            <w:pPr>
              <w:rPr>
                <w:rFonts w:cs="Times New Roman"/>
                <w:szCs w:val="24"/>
              </w:rPr>
            </w:pPr>
            <w:r w:rsidRPr="00CD56D3">
              <w:rPr>
                <w:rFonts w:cs="Times New Roman"/>
                <w:szCs w:val="24"/>
              </w:rPr>
              <w:t>2016</w:t>
            </w:r>
            <w:r w:rsidR="00FE3337" w:rsidRPr="00FE3337">
              <w:rPr>
                <w:rFonts w:cs="Times New Roman"/>
                <w:szCs w:val="24"/>
              </w:rPr>
              <w:t>–</w:t>
            </w:r>
            <w:r w:rsidRPr="00CD56D3">
              <w:rPr>
                <w:rFonts w:cs="Times New Roman"/>
                <w:szCs w:val="24"/>
              </w:rPr>
              <w:t>17</w:t>
            </w:r>
          </w:p>
        </w:tc>
        <w:tc>
          <w:tcPr>
            <w:tcW w:w="2820" w:type="dxa"/>
          </w:tcPr>
          <w:p w14:paraId="5FD44B77" w14:textId="77777777" w:rsidR="00413687" w:rsidRPr="00CD56D3" w:rsidRDefault="00413687" w:rsidP="0082400B">
            <w:pPr>
              <w:rPr>
                <w:rFonts w:cs="Times New Roman"/>
                <w:szCs w:val="24"/>
              </w:rPr>
            </w:pPr>
            <w:r w:rsidRPr="00CD56D3">
              <w:rPr>
                <w:rFonts w:cs="Times New Roman"/>
                <w:szCs w:val="24"/>
              </w:rPr>
              <w:t>1.5</w:t>
            </w:r>
          </w:p>
        </w:tc>
        <w:tc>
          <w:tcPr>
            <w:tcW w:w="1857" w:type="dxa"/>
          </w:tcPr>
          <w:p w14:paraId="6E6004B2" w14:textId="77777777" w:rsidR="00413687" w:rsidRPr="00CD56D3" w:rsidRDefault="00413687" w:rsidP="0082400B">
            <w:pPr>
              <w:rPr>
                <w:rFonts w:cs="Times New Roman"/>
                <w:szCs w:val="24"/>
              </w:rPr>
            </w:pPr>
            <w:r w:rsidRPr="00CD56D3">
              <w:rPr>
                <w:rFonts w:cs="Times New Roman"/>
                <w:szCs w:val="24"/>
              </w:rPr>
              <w:t>-</w:t>
            </w:r>
          </w:p>
        </w:tc>
        <w:tc>
          <w:tcPr>
            <w:tcW w:w="3118" w:type="dxa"/>
          </w:tcPr>
          <w:p w14:paraId="74A11327" w14:textId="77777777" w:rsidR="00413687" w:rsidRPr="00CD56D3" w:rsidRDefault="00413687" w:rsidP="0082400B">
            <w:pPr>
              <w:rPr>
                <w:rFonts w:cs="Times New Roman"/>
                <w:szCs w:val="24"/>
              </w:rPr>
            </w:pPr>
            <w:r w:rsidRPr="00CD56D3">
              <w:rPr>
                <w:rFonts w:cs="Times New Roman"/>
                <w:szCs w:val="24"/>
              </w:rPr>
              <w:t>-</w:t>
            </w:r>
          </w:p>
        </w:tc>
      </w:tr>
    </w:tbl>
    <w:p w14:paraId="64E78F43" w14:textId="77777777" w:rsidR="00413687" w:rsidRPr="00071F33" w:rsidRDefault="00413687" w:rsidP="00413687">
      <w:pPr>
        <w:rPr>
          <w:rFonts w:cs="Times New Roman"/>
          <w:sz w:val="20"/>
          <w:szCs w:val="20"/>
        </w:rPr>
      </w:pPr>
    </w:p>
    <w:p w14:paraId="58F1AED1" w14:textId="77777777" w:rsidR="00DE23E8" w:rsidRPr="001549D3" w:rsidRDefault="00DE23E8" w:rsidP="00654E8F">
      <w:pPr>
        <w:spacing w:before="240"/>
      </w:pPr>
    </w:p>
    <w:sectPr w:rsidR="00DE23E8" w:rsidRPr="001549D3" w:rsidSect="0093429D">
      <w:headerReference w:type="even" r:id="rId12"/>
      <w:headerReference w:type="default" r:id="rId13"/>
      <w:footerReference w:type="even" r:id="rId14"/>
      <w:footerReference w:type="default" r:id="rId15"/>
      <w:headerReference w:type="first" r:id="rId16"/>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AD8FC" w14:textId="77777777" w:rsidR="003D2D47" w:rsidRDefault="003D2D47" w:rsidP="00117666">
      <w:pPr>
        <w:spacing w:after="0"/>
      </w:pPr>
      <w:r>
        <w:separator/>
      </w:r>
    </w:p>
  </w:endnote>
  <w:endnote w:type="continuationSeparator" w:id="0">
    <w:p w14:paraId="68A94BCB" w14:textId="77777777" w:rsidR="003D2D47" w:rsidRDefault="003D2D4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D52B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D52B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8" type="#_x0000_t202" style="position:absolute;margin-left:78.8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D52B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D52B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D52B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9" type="#_x0000_t202" style="position:absolute;margin-left:78.8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D52B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35AC" w14:textId="77777777" w:rsidR="003D2D47" w:rsidRDefault="003D2D47" w:rsidP="00117666">
      <w:pPr>
        <w:spacing w:after="0"/>
      </w:pPr>
      <w:r>
        <w:separator/>
      </w:r>
    </w:p>
  </w:footnote>
  <w:footnote w:type="continuationSeparator" w:id="0">
    <w:p w14:paraId="6A0AA9D1" w14:textId="77777777" w:rsidR="003D2D47" w:rsidRDefault="003D2D47"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40F2A617" w:rsidR="00D52B6A" w:rsidRPr="009151AA" w:rsidRDefault="00413687">
    <w:pPr>
      <w:rPr>
        <w:rFonts w:cs="Times New Roman"/>
      </w:rPr>
    </w:pPr>
    <w:r>
      <w:rPr>
        <w:rFonts w:cs="Times New Roman"/>
        <w:noProof/>
      </w:rPr>
      <mc:AlternateContent>
        <mc:Choice Requires="wps">
          <w:drawing>
            <wp:anchor distT="0" distB="0" distL="0" distR="0" simplePos="0" relativeHeight="251661312" behindDoc="0" locked="0" layoutInCell="1" allowOverlap="1" wp14:anchorId="37DA9301" wp14:editId="6164EEF5">
              <wp:simplePos x="815546" y="461319"/>
              <wp:positionH relativeFrom="page">
                <wp:align>right</wp:align>
              </wp:positionH>
              <wp:positionV relativeFrom="page">
                <wp:align>top</wp:align>
              </wp:positionV>
              <wp:extent cx="1901190" cy="452755"/>
              <wp:effectExtent l="0" t="0" r="0" b="4445"/>
              <wp:wrapNone/>
              <wp:docPr id="1314670448"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52755"/>
                      </a:xfrm>
                      <a:prstGeom prst="rect">
                        <a:avLst/>
                      </a:prstGeom>
                      <a:noFill/>
                      <a:ln>
                        <a:noFill/>
                      </a:ln>
                    </wps:spPr>
                    <wps:txbx>
                      <w:txbxContent>
                        <w:p w14:paraId="68813B1C" w14:textId="40C58C18"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DA9301" id="_x0000_t202" coordsize="21600,21600" o:spt="202" path="m,l,21600r21600,l21600,xe">
              <v:stroke joinstyle="miter"/>
              <v:path gradientshapeok="t" o:connecttype="rect"/>
            </v:shapetype>
            <v:shape id="Text Box 2" o:spid="_x0000_s1026" type="#_x0000_t202" alt="Unclassified / Non classifié" style="position:absolute;margin-left:109.7pt;margin-top:0;width:149.7pt;height:35.6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" filled="f" stroked="f">
              <v:fill o:detectmouseclick="t"/>
              <v:textbox style="mso-fit-shape-to-text:t" inset="0,15pt,20pt,0">
                <w:txbxContent>
                  <w:p w14:paraId="68813B1C" w14:textId="40C58C18"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v:textbox>
              <w10:wrap anchorx="page" anchory="page"/>
            </v:shape>
          </w:pict>
        </mc:Fallback>
      </mc:AlternateContent>
    </w:r>
    <w:r w:rsidR="00C52A7B" w:rsidRPr="009151AA">
      <w:rPr>
        <w:rFonts w:cs="Times New Roman"/>
      </w:rPr>
      <w:ptab w:relativeTo="margin" w:alignment="center" w:leader="none"/>
    </w:r>
    <w:r w:rsidR="00C52A7B"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8A42" w14:textId="6635961F" w:rsidR="00413687" w:rsidRDefault="00413687">
    <w:pPr>
      <w:pStyle w:val="Header"/>
    </w:pPr>
    <w:r>
      <w:rPr>
        <w:noProof/>
      </w:rPr>
      <mc:AlternateContent>
        <mc:Choice Requires="wps">
          <w:drawing>
            <wp:anchor distT="0" distB="0" distL="0" distR="0" simplePos="0" relativeHeight="251662336" behindDoc="0" locked="0" layoutInCell="1" allowOverlap="1" wp14:anchorId="30CD09B1" wp14:editId="37AD1F97">
              <wp:simplePos x="635" y="635"/>
              <wp:positionH relativeFrom="page">
                <wp:align>right</wp:align>
              </wp:positionH>
              <wp:positionV relativeFrom="page">
                <wp:align>top</wp:align>
              </wp:positionV>
              <wp:extent cx="1901190" cy="452755"/>
              <wp:effectExtent l="0" t="0" r="0" b="4445"/>
              <wp:wrapNone/>
              <wp:docPr id="244284011"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52755"/>
                      </a:xfrm>
                      <a:prstGeom prst="rect">
                        <a:avLst/>
                      </a:prstGeom>
                      <a:noFill/>
                      <a:ln>
                        <a:noFill/>
                      </a:ln>
                    </wps:spPr>
                    <wps:txbx>
                      <w:txbxContent>
                        <w:p w14:paraId="6E6D1F2C" w14:textId="6B51BCEA"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0CD09B1" id="_x0000_t202" coordsize="21600,21600" o:spt="202" path="m,l,21600r21600,l21600,xe">
              <v:stroke joinstyle="miter"/>
              <v:path gradientshapeok="t" o:connecttype="rect"/>
            </v:shapetype>
            <v:shape id="Text Box 3" o:spid="_x0000_s1027" type="#_x0000_t202" alt="Unclassified / Non classifié" style="position:absolute;margin-left:109.7pt;margin-top:0;width:149.7pt;height:35.6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" filled="f" stroked="f">
              <v:fill o:detectmouseclick="t"/>
              <v:textbox style="mso-fit-shape-to-text:t" inset="0,15pt,20pt,0">
                <w:txbxContent>
                  <w:p w14:paraId="6E6D1F2C" w14:textId="6B51BCEA"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5BC94CE1" w:rsidR="00D52B6A" w:rsidRDefault="00413687" w:rsidP="0093429D">
    <w:r>
      <w:rPr>
        <w:b/>
        <w:noProof/>
        <w:color w:val="A6A6A6" w:themeColor="background1" w:themeShade="A6"/>
        <w:lang w:val="en-GB" w:eastAsia="en-GB"/>
      </w:rPr>
      <mc:AlternateContent>
        <mc:Choice Requires="wps">
          <w:drawing>
            <wp:anchor distT="0" distB="0" distL="0" distR="0" simplePos="0" relativeHeight="251660288" behindDoc="0" locked="0" layoutInCell="1" allowOverlap="1" wp14:anchorId="54973C56" wp14:editId="1F391E53">
              <wp:simplePos x="815546" y="461319"/>
              <wp:positionH relativeFrom="page">
                <wp:align>right</wp:align>
              </wp:positionH>
              <wp:positionV relativeFrom="page">
                <wp:align>top</wp:align>
              </wp:positionV>
              <wp:extent cx="1901190" cy="452755"/>
              <wp:effectExtent l="0" t="0" r="0" b="4445"/>
              <wp:wrapNone/>
              <wp:docPr id="1328981540"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01190" cy="452755"/>
                      </a:xfrm>
                      <a:prstGeom prst="rect">
                        <a:avLst/>
                      </a:prstGeom>
                      <a:noFill/>
                      <a:ln>
                        <a:noFill/>
                      </a:ln>
                    </wps:spPr>
                    <wps:txbx>
                      <w:txbxContent>
                        <w:p w14:paraId="23727770" w14:textId="795CCC37"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973C56" id="_x0000_t202" coordsize="21600,21600" o:spt="202" path="m,l,21600r21600,l21600,xe">
              <v:stroke joinstyle="miter"/>
              <v:path gradientshapeok="t" o:connecttype="rect"/>
            </v:shapetype>
            <v:shape id="_x0000_s1030" type="#_x0000_t202" alt="Unclassified / Non classifié" style="position:absolute;margin-left:109.7pt;margin-top:0;width:149.7pt;height:35.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" filled="f" stroked="f">
              <v:fill o:detectmouseclick="t"/>
              <v:textbox style="mso-fit-shape-to-text:t" inset="0,15pt,20pt,0">
                <w:txbxContent>
                  <w:p w14:paraId="23727770" w14:textId="795CCC37" w:rsidR="00413687" w:rsidRPr="00413687" w:rsidRDefault="00413687" w:rsidP="00413687">
                    <w:pPr>
                      <w:spacing w:after="0"/>
                      <w:rPr>
                        <w:rFonts w:ascii="Calibri" w:eastAsia="Calibri" w:hAnsi="Calibri" w:cs="Calibri"/>
                        <w:noProof/>
                        <w:color w:val="000000"/>
                        <w:szCs w:val="24"/>
                      </w:rPr>
                    </w:pPr>
                    <w:r w:rsidRPr="00413687">
                      <w:rPr>
                        <w:rFonts w:ascii="Calibri" w:eastAsia="Calibri" w:hAnsi="Calibri" w:cs="Calibri"/>
                        <w:noProof/>
                        <w:color w:val="000000"/>
                        <w:szCs w:val="24"/>
                      </w:rPr>
                      <w:t>Unclassified / Non classifié</w:t>
                    </w:r>
                  </w:p>
                </w:txbxContent>
              </v:textbox>
              <w10:wrap anchorx="page" anchory="page"/>
            </v:shape>
          </w:pict>
        </mc:Fallback>
      </mc:AlternateContent>
    </w:r>
    <w:r w:rsidR="0093429D"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7" w15:restartNumberingAfterBreak="0">
    <w:nsid w:val="7BB77714"/>
    <w:multiLevelType w:val="hybridMultilevel"/>
    <w:tmpl w:val="C4766DD4"/>
    <w:lvl w:ilvl="0" w:tplc="A6602BC6">
      <w:start w:val="1"/>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 w:numId="20" w16cid:durableId="912348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13687"/>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634ED"/>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D56D3"/>
    <w:rsid w:val="00CE4FEE"/>
    <w:rsid w:val="00D52B6A"/>
    <w:rsid w:val="00DB59C3"/>
    <w:rsid w:val="00DC259A"/>
    <w:rsid w:val="00DE23E8"/>
    <w:rsid w:val="00E52377"/>
    <w:rsid w:val="00E64E17"/>
    <w:rsid w:val="00E866C9"/>
    <w:rsid w:val="00EA3D3C"/>
    <w:rsid w:val="00F46900"/>
    <w:rsid w:val="00F61D89"/>
    <w:rsid w:val="00FE3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2.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2558679B-78FB-42CD-A1EA-A99096AF55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4</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Plebon-Huff, Sieara (HC/SC)</cp:lastModifiedBy>
  <cp:revision>5</cp:revision>
  <cp:lastPrinted>2013-10-03T12:51:00Z</cp:lastPrinted>
  <dcterms:created xsi:type="dcterms:W3CDTF">2025-11-05T15:37:00Z</dcterms:created>
  <dcterms:modified xsi:type="dcterms:W3CDTF">2025-11-05T15:39:00Z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lassificationContentMarkingHeaderShapeIds">
    <vt:lpwstr>4f36a624,4e5c4770,e8f7a6b</vt:lpwstr>
  </property>
  <property fmtid="{D5CDD505-2E9C-101B-9397-08002B2CF9AE}" pid="11" name="ClassificationContentMarkingHeaderFontProps">
    <vt:lpwstr>#000000,12,Calibri</vt:lpwstr>
  </property>
  <property fmtid="{D5CDD505-2E9C-101B-9397-08002B2CF9AE}" pid="12" name="ClassificationContentMarkingHeaderText">
    <vt:lpwstr>Unclassified / Non classifié</vt:lpwstr>
  </property>
  <property fmtid="{D5CDD505-2E9C-101B-9397-08002B2CF9AE}" pid="13" name="MSIP_Label_05d8ed60-cd71-485b-a85b-277aaf32f506_Enabled">
    <vt:lpwstr>true</vt:lpwstr>
  </property>
  <property fmtid="{D5CDD505-2E9C-101B-9397-08002B2CF9AE}" pid="14" name="MSIP_Label_05d8ed60-cd71-485b-a85b-277aaf32f506_SetDate">
    <vt:lpwstr>2025-11-05T15:37:29Z</vt:lpwstr>
  </property>
  <property fmtid="{D5CDD505-2E9C-101B-9397-08002B2CF9AE}" pid="15" name="MSIP_Label_05d8ed60-cd71-485b-a85b-277aaf32f506_Method">
    <vt:lpwstr>Standard</vt:lpwstr>
  </property>
  <property fmtid="{D5CDD505-2E9C-101B-9397-08002B2CF9AE}" pid="16" name="MSIP_Label_05d8ed60-cd71-485b-a85b-277aaf32f506_Name">
    <vt:lpwstr>Unclassified</vt:lpwstr>
  </property>
  <property fmtid="{D5CDD505-2E9C-101B-9397-08002B2CF9AE}" pid="17" name="MSIP_Label_05d8ed60-cd71-485b-a85b-277aaf32f506_SiteId">
    <vt:lpwstr>42fd9015-de4d-4223-a368-baeacab48927</vt:lpwstr>
  </property>
  <property fmtid="{D5CDD505-2E9C-101B-9397-08002B2CF9AE}" pid="18" name="MSIP_Label_05d8ed60-cd71-485b-a85b-277aaf32f506_ActionId">
    <vt:lpwstr>a3e29ebe-9ba4-4cd8-8d7e-2a3496209cbc</vt:lpwstr>
  </property>
  <property fmtid="{D5CDD505-2E9C-101B-9397-08002B2CF9AE}" pid="19" name="MSIP_Label_05d8ed60-cd71-485b-a85b-277aaf32f506_ContentBits">
    <vt:lpwstr>1</vt:lpwstr>
  </property>
  <property fmtid="{D5CDD505-2E9C-101B-9397-08002B2CF9AE}" pid="20" name="MSIP_Label_05d8ed60-cd71-485b-a85b-277aaf32f506_Tag">
    <vt:lpwstr>10, 3, 0, 1</vt:lpwstr>
  </property>
</Properties>
</file>