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29CE" w:rsidRPr="00D40EB8" w:rsidRDefault="005A5EAE">
      <w:pPr>
        <w:rPr>
          <w:b/>
          <w:bCs/>
          <w:sz w:val="28"/>
          <w:szCs w:val="28"/>
        </w:rPr>
      </w:pPr>
      <w:r w:rsidRPr="00D40EB8">
        <w:rPr>
          <w:b/>
          <w:bCs/>
          <w:sz w:val="28"/>
          <w:szCs w:val="28"/>
        </w:rPr>
        <w:t>Supporting information</w:t>
      </w:r>
      <w:r w:rsidR="00FB45D4">
        <w:rPr>
          <w:b/>
          <w:bCs/>
          <w:sz w:val="28"/>
          <w:szCs w:val="28"/>
        </w:rPr>
        <w:t xml:space="preserve"> </w:t>
      </w:r>
      <w:r w:rsidR="00F54686">
        <w:rPr>
          <w:b/>
          <w:bCs/>
          <w:sz w:val="28"/>
          <w:szCs w:val="28"/>
        </w:rPr>
        <w:t>Figure l</w:t>
      </w:r>
      <w:r w:rsidR="00FB45D4">
        <w:rPr>
          <w:b/>
          <w:bCs/>
          <w:sz w:val="28"/>
          <w:szCs w:val="28"/>
        </w:rPr>
        <w:t>egends</w:t>
      </w:r>
    </w:p>
    <w:p w:rsidR="007E40B2" w:rsidRDefault="007E40B2">
      <w:pPr>
        <w:rPr>
          <w:sz w:val="24"/>
          <w:szCs w:val="24"/>
        </w:rPr>
      </w:pPr>
    </w:p>
    <w:p w:rsidR="00FB45D4" w:rsidRPr="00FB45D4" w:rsidRDefault="00FB45D4">
      <w:pPr>
        <w:rPr>
          <w:b/>
          <w:bCs/>
          <w:sz w:val="24"/>
          <w:szCs w:val="24"/>
        </w:rPr>
      </w:pPr>
      <w:r w:rsidRPr="00FB45D4">
        <w:rPr>
          <w:b/>
          <w:bCs/>
          <w:sz w:val="24"/>
          <w:szCs w:val="24"/>
        </w:rPr>
        <w:t>Supplementary Fig</w:t>
      </w:r>
      <w:r>
        <w:rPr>
          <w:b/>
          <w:bCs/>
          <w:sz w:val="24"/>
          <w:szCs w:val="24"/>
        </w:rPr>
        <w:t>ure</w:t>
      </w:r>
      <w:r w:rsidRPr="00FB45D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</w:t>
      </w:r>
    </w:p>
    <w:p w:rsidR="005A5EAE" w:rsidRPr="007E40B2" w:rsidRDefault="007E40B2">
      <w:pPr>
        <w:rPr>
          <w:i/>
          <w:iCs/>
          <w:sz w:val="24"/>
          <w:szCs w:val="24"/>
        </w:rPr>
      </w:pPr>
      <w:r w:rsidRPr="005A5EAE">
        <w:rPr>
          <w:rFonts w:eastAsia="標楷體"/>
          <w:i/>
          <w:iCs/>
          <w:sz w:val="24"/>
          <w:szCs w:val="24"/>
        </w:rPr>
        <w:t>Tsc2</w:t>
      </w:r>
      <w:r w:rsidRPr="005A5EAE">
        <w:rPr>
          <w:rFonts w:eastAsia="標楷體"/>
          <w:i/>
          <w:iCs/>
          <w:sz w:val="24"/>
          <w:szCs w:val="24"/>
          <w:vertAlign w:val="superscript"/>
        </w:rPr>
        <w:t>+/–</w:t>
      </w:r>
      <w:r w:rsidRPr="007E40B2">
        <w:rPr>
          <w:i/>
          <w:iCs/>
          <w:sz w:val="24"/>
          <w:szCs w:val="24"/>
        </w:rPr>
        <w:t xml:space="preserve"> mice </w:t>
      </w:r>
      <w:r>
        <w:rPr>
          <w:i/>
          <w:iCs/>
          <w:sz w:val="24"/>
          <w:szCs w:val="24"/>
        </w:rPr>
        <w:t>showed no differences</w:t>
      </w:r>
      <w:r w:rsidRPr="007E40B2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when injected with high-</w:t>
      </w:r>
      <w:r w:rsidRPr="007E40B2">
        <w:rPr>
          <w:i/>
          <w:iCs/>
          <w:sz w:val="24"/>
          <w:szCs w:val="24"/>
        </w:rPr>
        <w:t>dose</w:t>
      </w:r>
      <w:r>
        <w:rPr>
          <w:i/>
          <w:iCs/>
          <w:sz w:val="24"/>
          <w:szCs w:val="24"/>
        </w:rPr>
        <w:t>s</w:t>
      </w:r>
      <w:r w:rsidRPr="007E40B2">
        <w:rPr>
          <w:i/>
          <w:iCs/>
          <w:sz w:val="24"/>
          <w:szCs w:val="24"/>
        </w:rPr>
        <w:t xml:space="preserve"> of PTZ</w:t>
      </w:r>
    </w:p>
    <w:p w:rsidR="005A5EAE" w:rsidRDefault="00FB45D4" w:rsidP="001E6742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5A5EAE" w:rsidRPr="005A5EAE">
        <w:rPr>
          <w:sz w:val="24"/>
          <w:szCs w:val="24"/>
        </w:rPr>
        <w:t xml:space="preserve">ifferent doses of PTZ administration </w:t>
      </w:r>
      <w:r>
        <w:rPr>
          <w:sz w:val="24"/>
          <w:szCs w:val="24"/>
        </w:rPr>
        <w:t xml:space="preserve">was tested </w:t>
      </w:r>
      <w:r w:rsidR="005A5EAE" w:rsidRPr="005A5EAE">
        <w:rPr>
          <w:sz w:val="24"/>
          <w:szCs w:val="24"/>
        </w:rPr>
        <w:t xml:space="preserve">to determine the vulnerability of </w:t>
      </w:r>
      <w:r w:rsidR="005A5EAE" w:rsidRPr="005A5EAE">
        <w:rPr>
          <w:rFonts w:eastAsia="標楷體"/>
          <w:i/>
          <w:iCs/>
          <w:sz w:val="24"/>
          <w:szCs w:val="24"/>
        </w:rPr>
        <w:t>Tsc2</w:t>
      </w:r>
      <w:r w:rsidR="005A5EAE" w:rsidRPr="005A5EAE">
        <w:rPr>
          <w:rFonts w:eastAsia="標楷體"/>
          <w:i/>
          <w:iCs/>
          <w:sz w:val="24"/>
          <w:szCs w:val="24"/>
          <w:vertAlign w:val="superscript"/>
        </w:rPr>
        <w:t>+/–</w:t>
      </w:r>
      <w:r w:rsidR="005A5EAE" w:rsidRPr="005A5EAE">
        <w:rPr>
          <w:sz w:val="24"/>
          <w:szCs w:val="24"/>
        </w:rPr>
        <w:t xml:space="preserve"> mice to PTZ. </w:t>
      </w:r>
      <w:r>
        <w:rPr>
          <w:sz w:val="24"/>
          <w:szCs w:val="24"/>
        </w:rPr>
        <w:t>A</w:t>
      </w:r>
      <w:r w:rsidR="005A5EAE" w:rsidRPr="005A5EAE">
        <w:rPr>
          <w:sz w:val="24"/>
          <w:szCs w:val="24"/>
        </w:rPr>
        <w:t xml:space="preserve"> single intraperitoneal injection of PTZ at high doses (50, 60, 70 and 80 mg/kg) </w:t>
      </w:r>
      <w:r>
        <w:rPr>
          <w:sz w:val="24"/>
          <w:szCs w:val="24"/>
        </w:rPr>
        <w:t>induced</w:t>
      </w:r>
      <w:r w:rsidR="005A5EAE" w:rsidRPr="005A5EAE">
        <w:rPr>
          <w:sz w:val="24"/>
          <w:szCs w:val="24"/>
        </w:rPr>
        <w:t xml:space="preserve"> an acute, severe seizure behavior in both WT and </w:t>
      </w:r>
      <w:r w:rsidR="005A5EAE" w:rsidRPr="00FB45D4">
        <w:rPr>
          <w:i/>
          <w:iCs/>
          <w:sz w:val="24"/>
          <w:szCs w:val="24"/>
        </w:rPr>
        <w:t>Tsc2</w:t>
      </w:r>
      <w:r w:rsidR="005A5EAE" w:rsidRPr="007A6CC0">
        <w:rPr>
          <w:i/>
          <w:iCs/>
          <w:sz w:val="24"/>
          <w:szCs w:val="24"/>
          <w:vertAlign w:val="superscript"/>
        </w:rPr>
        <w:t>+/–</w:t>
      </w:r>
      <w:r w:rsidR="005A5EAE" w:rsidRPr="007A6CC0">
        <w:rPr>
          <w:sz w:val="24"/>
          <w:szCs w:val="24"/>
          <w:vertAlign w:val="superscript"/>
        </w:rPr>
        <w:t xml:space="preserve"> </w:t>
      </w:r>
      <w:r w:rsidR="005A5EAE" w:rsidRPr="005A5EAE">
        <w:rPr>
          <w:sz w:val="24"/>
          <w:szCs w:val="24"/>
        </w:rPr>
        <w:t xml:space="preserve">mice, regardless of the age of the mice. All mice reached Racine score </w:t>
      </w:r>
      <w:r w:rsidR="005A5EAE" w:rsidRPr="005A5EAE">
        <w:rPr>
          <w:rFonts w:eastAsia="標楷體"/>
          <w:sz w:val="24"/>
          <w:szCs w:val="24"/>
        </w:rPr>
        <w:sym w:font="Symbol" w:char="F0B3"/>
      </w:r>
      <w:r w:rsidR="005A5EAE" w:rsidRPr="005A5EAE">
        <w:rPr>
          <w:sz w:val="24"/>
          <w:szCs w:val="24"/>
        </w:rPr>
        <w:t xml:space="preserve"> 4</w:t>
      </w:r>
      <w:r>
        <w:rPr>
          <w:sz w:val="24"/>
          <w:szCs w:val="24"/>
        </w:rPr>
        <w:t>.</w:t>
      </w:r>
      <w:r w:rsidR="005A5EAE" w:rsidRPr="005A5EAE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="005A5EAE" w:rsidRPr="005A5EAE">
        <w:rPr>
          <w:sz w:val="24"/>
          <w:szCs w:val="24"/>
        </w:rPr>
        <w:t xml:space="preserve">atency to first minimal </w:t>
      </w:r>
      <w:proofErr w:type="spellStart"/>
      <w:r w:rsidR="005A5EAE" w:rsidRPr="005A5EAE">
        <w:rPr>
          <w:sz w:val="24"/>
          <w:szCs w:val="24"/>
        </w:rPr>
        <w:t>clonic</w:t>
      </w:r>
      <w:proofErr w:type="spellEnd"/>
      <w:r w:rsidR="005A5EAE" w:rsidRPr="005A5EAE">
        <w:rPr>
          <w:sz w:val="24"/>
          <w:szCs w:val="24"/>
        </w:rPr>
        <w:t xml:space="preserve"> seizure (MCS) and the total time duration of seizures for each animal</w:t>
      </w:r>
      <w:r>
        <w:rPr>
          <w:sz w:val="24"/>
          <w:szCs w:val="24"/>
        </w:rPr>
        <w:t xml:space="preserve"> were shown</w:t>
      </w:r>
      <w:r w:rsidR="005A5EAE" w:rsidRPr="005A5EAE">
        <w:rPr>
          <w:sz w:val="24"/>
          <w:szCs w:val="24"/>
        </w:rPr>
        <w:t xml:space="preserve">. </w:t>
      </w:r>
      <w:r w:rsidR="005A5EAE" w:rsidRPr="005A5EAE">
        <w:rPr>
          <w:rFonts w:eastAsia="標楷體"/>
          <w:i/>
          <w:iCs/>
          <w:sz w:val="24"/>
          <w:szCs w:val="24"/>
        </w:rPr>
        <w:t>Tsc2</w:t>
      </w:r>
      <w:r w:rsidR="005A5EAE" w:rsidRPr="005A5EAE">
        <w:rPr>
          <w:rFonts w:eastAsia="標楷體"/>
          <w:i/>
          <w:iCs/>
          <w:sz w:val="24"/>
          <w:szCs w:val="24"/>
          <w:vertAlign w:val="superscript"/>
        </w:rPr>
        <w:t>+/–</w:t>
      </w:r>
      <w:r w:rsidR="005A5EAE" w:rsidRPr="005A5EAE">
        <w:rPr>
          <w:sz w:val="24"/>
          <w:szCs w:val="24"/>
        </w:rPr>
        <w:t xml:space="preserve"> mice did not show significant differences at 4-week-old in the latency to first MCS (</w:t>
      </w:r>
      <w:r w:rsidR="005A5EAE" w:rsidRPr="00D15BFB">
        <w:rPr>
          <w:b/>
          <w:bCs/>
          <w:sz w:val="24"/>
          <w:szCs w:val="24"/>
        </w:rPr>
        <w:t>Supplemental Fig. 1A,</w:t>
      </w:r>
      <w:r w:rsidR="005A5EAE" w:rsidRPr="00D15BFB">
        <w:rPr>
          <w:b/>
          <w:bCs/>
          <w:i/>
          <w:iCs/>
          <w:sz w:val="24"/>
          <w:szCs w:val="24"/>
        </w:rPr>
        <w:t xml:space="preserve"> upper panel</w:t>
      </w:r>
      <w:r w:rsidR="005A5EAE" w:rsidRPr="005A5EAE">
        <w:rPr>
          <w:sz w:val="24"/>
          <w:szCs w:val="24"/>
        </w:rPr>
        <w:t>) and the total during time of seizures (</w:t>
      </w:r>
      <w:r w:rsidR="005A5EAE" w:rsidRPr="00D15BFB">
        <w:rPr>
          <w:b/>
          <w:bCs/>
          <w:sz w:val="24"/>
          <w:szCs w:val="24"/>
        </w:rPr>
        <w:t xml:space="preserve">Supplemental Fig. 1A, </w:t>
      </w:r>
      <w:r w:rsidR="005A5EAE" w:rsidRPr="00D15BFB">
        <w:rPr>
          <w:b/>
          <w:bCs/>
          <w:i/>
          <w:iCs/>
          <w:sz w:val="24"/>
          <w:szCs w:val="24"/>
        </w:rPr>
        <w:t>lower panel</w:t>
      </w:r>
      <w:r w:rsidR="005A5EAE" w:rsidRPr="005A5EAE">
        <w:rPr>
          <w:sz w:val="24"/>
          <w:szCs w:val="24"/>
        </w:rPr>
        <w:t>)</w:t>
      </w:r>
      <w:r>
        <w:rPr>
          <w:sz w:val="24"/>
          <w:szCs w:val="24"/>
        </w:rPr>
        <w:t>, w</w:t>
      </w:r>
      <w:r w:rsidRPr="005A5EAE">
        <w:rPr>
          <w:sz w:val="24"/>
          <w:szCs w:val="24"/>
        </w:rPr>
        <w:t>hen compared to WT mice</w:t>
      </w:r>
      <w:r w:rsidR="005A5EAE" w:rsidRPr="005A5EAE">
        <w:rPr>
          <w:sz w:val="24"/>
          <w:szCs w:val="24"/>
        </w:rPr>
        <w:t>. Likewise, the two groups did not differ at the age of 8 weeks as well (</w:t>
      </w:r>
      <w:r w:rsidR="005A5EAE" w:rsidRPr="00D15BFB">
        <w:rPr>
          <w:b/>
          <w:bCs/>
          <w:sz w:val="24"/>
          <w:szCs w:val="24"/>
        </w:rPr>
        <w:t>Supplemental Fig. 1B</w:t>
      </w:r>
      <w:r w:rsidR="005A5EAE" w:rsidRPr="005A5EAE">
        <w:rPr>
          <w:sz w:val="24"/>
          <w:szCs w:val="24"/>
        </w:rPr>
        <w:t xml:space="preserve">). </w:t>
      </w:r>
    </w:p>
    <w:p w:rsidR="00FB45D4" w:rsidRPr="005A5EAE" w:rsidRDefault="00FB45D4">
      <w:pPr>
        <w:rPr>
          <w:sz w:val="24"/>
          <w:szCs w:val="24"/>
        </w:rPr>
      </w:pPr>
    </w:p>
    <w:p w:rsidR="00FB45D4" w:rsidRPr="00FB45D4" w:rsidRDefault="00FB45D4" w:rsidP="005A5EAE">
      <w:pPr>
        <w:rPr>
          <w:b/>
          <w:bCs/>
          <w:sz w:val="24"/>
          <w:szCs w:val="24"/>
        </w:rPr>
      </w:pPr>
      <w:r w:rsidRPr="00FB45D4">
        <w:rPr>
          <w:b/>
          <w:bCs/>
          <w:sz w:val="24"/>
          <w:szCs w:val="24"/>
        </w:rPr>
        <w:t>Supplementary Fig</w:t>
      </w:r>
      <w:r>
        <w:rPr>
          <w:b/>
          <w:bCs/>
          <w:sz w:val="24"/>
          <w:szCs w:val="24"/>
        </w:rPr>
        <w:t>ure</w:t>
      </w:r>
      <w:r w:rsidRPr="00FB45D4">
        <w:rPr>
          <w:b/>
          <w:bCs/>
          <w:sz w:val="24"/>
          <w:szCs w:val="24"/>
        </w:rPr>
        <w:t xml:space="preserve"> 2</w:t>
      </w:r>
    </w:p>
    <w:p w:rsidR="005A5EAE" w:rsidRPr="005A5EAE" w:rsidRDefault="005A5EAE" w:rsidP="005A5EAE">
      <w:pPr>
        <w:rPr>
          <w:i/>
          <w:iCs/>
          <w:sz w:val="24"/>
          <w:szCs w:val="24"/>
        </w:rPr>
      </w:pPr>
      <w:r w:rsidRPr="005A5EAE">
        <w:rPr>
          <w:i/>
          <w:iCs/>
          <w:sz w:val="24"/>
          <w:szCs w:val="24"/>
        </w:rPr>
        <w:t>J4 decreased the number of degenerating cells after PTZ-induced seizures</w:t>
      </w:r>
    </w:p>
    <w:p w:rsidR="00EC680E" w:rsidRDefault="005A5EAE" w:rsidP="001E6742">
      <w:pPr>
        <w:jc w:val="both"/>
        <w:rPr>
          <w:sz w:val="24"/>
          <w:szCs w:val="24"/>
        </w:rPr>
      </w:pPr>
      <w:proofErr w:type="spellStart"/>
      <w:r w:rsidRPr="005A5EAE">
        <w:rPr>
          <w:sz w:val="24"/>
          <w:szCs w:val="24"/>
        </w:rPr>
        <w:t>Fluoro</w:t>
      </w:r>
      <w:proofErr w:type="spellEnd"/>
      <w:r w:rsidRPr="005A5EAE">
        <w:rPr>
          <w:sz w:val="24"/>
          <w:szCs w:val="24"/>
        </w:rPr>
        <w:t xml:space="preserve">-Jade C </w:t>
      </w:r>
      <w:r w:rsidR="00F37BA6">
        <w:rPr>
          <w:sz w:val="24"/>
          <w:szCs w:val="24"/>
        </w:rPr>
        <w:t xml:space="preserve">(FJC) </w:t>
      </w:r>
      <w:r w:rsidRPr="005A5EAE">
        <w:rPr>
          <w:sz w:val="24"/>
          <w:szCs w:val="24"/>
        </w:rPr>
        <w:t xml:space="preserve">staining </w:t>
      </w:r>
      <w:r w:rsidR="00F37BA6">
        <w:rPr>
          <w:sz w:val="24"/>
          <w:szCs w:val="24"/>
        </w:rPr>
        <w:t>was performed to a</w:t>
      </w:r>
      <w:r w:rsidRPr="005A5EAE">
        <w:rPr>
          <w:sz w:val="24"/>
          <w:szCs w:val="24"/>
        </w:rPr>
        <w:t>nalyze the degenerating cells at the entorhinal cortex</w:t>
      </w:r>
      <w:r w:rsidR="00F37BA6">
        <w:rPr>
          <w:sz w:val="24"/>
          <w:szCs w:val="24"/>
        </w:rPr>
        <w:t xml:space="preserve"> compared between</w:t>
      </w:r>
      <w:r w:rsidR="00F37BA6" w:rsidRPr="005A5EAE">
        <w:rPr>
          <w:sz w:val="24"/>
          <w:szCs w:val="24"/>
        </w:rPr>
        <w:t xml:space="preserve"> </w:t>
      </w:r>
      <w:r w:rsidRPr="005A5EAE">
        <w:rPr>
          <w:sz w:val="24"/>
          <w:szCs w:val="24"/>
        </w:rPr>
        <w:t>WT mice without PTZ injections (WT/</w:t>
      </w:r>
      <w:proofErr w:type="spellStart"/>
      <w:r w:rsidRPr="005A5EAE">
        <w:rPr>
          <w:sz w:val="24"/>
          <w:szCs w:val="24"/>
        </w:rPr>
        <w:t>Veh</w:t>
      </w:r>
      <w:proofErr w:type="spellEnd"/>
      <w:r w:rsidRPr="005A5EAE">
        <w:rPr>
          <w:sz w:val="24"/>
          <w:szCs w:val="24"/>
        </w:rPr>
        <w:t>)</w:t>
      </w:r>
      <w:r w:rsidR="00F37BA6" w:rsidRPr="00F37BA6">
        <w:rPr>
          <w:sz w:val="24"/>
          <w:szCs w:val="24"/>
        </w:rPr>
        <w:t xml:space="preserve"> </w:t>
      </w:r>
      <w:r w:rsidR="004F4C8C" w:rsidRPr="005A5EAE">
        <w:rPr>
          <w:sz w:val="24"/>
          <w:szCs w:val="24"/>
        </w:rPr>
        <w:t>(</w:t>
      </w:r>
      <w:r w:rsidR="004F4C8C" w:rsidRPr="00D15BFB">
        <w:rPr>
          <w:b/>
          <w:bCs/>
          <w:sz w:val="24"/>
          <w:szCs w:val="24"/>
        </w:rPr>
        <w:t>Supplemental Fig. 2A</w:t>
      </w:r>
      <w:r w:rsidR="004F4C8C" w:rsidRPr="005A5EAE">
        <w:rPr>
          <w:sz w:val="24"/>
          <w:szCs w:val="24"/>
        </w:rPr>
        <w:t>)</w:t>
      </w:r>
      <w:r w:rsidR="004F4C8C">
        <w:rPr>
          <w:sz w:val="24"/>
          <w:szCs w:val="24"/>
        </w:rPr>
        <w:t xml:space="preserve"> </w:t>
      </w:r>
      <w:r w:rsidR="00F37BA6">
        <w:rPr>
          <w:sz w:val="24"/>
          <w:szCs w:val="24"/>
        </w:rPr>
        <w:t xml:space="preserve">and </w:t>
      </w:r>
      <w:r w:rsidR="00F37BA6" w:rsidRPr="005A5EAE">
        <w:rPr>
          <w:sz w:val="24"/>
          <w:szCs w:val="24"/>
        </w:rPr>
        <w:t>PTZ-injected WT mice</w:t>
      </w:r>
      <w:r w:rsidR="00F37BA6">
        <w:rPr>
          <w:sz w:val="24"/>
          <w:szCs w:val="24"/>
        </w:rPr>
        <w:t xml:space="preserve"> (PTZ-WT/</w:t>
      </w:r>
      <w:proofErr w:type="spellStart"/>
      <w:r w:rsidR="00F37BA6">
        <w:rPr>
          <w:sz w:val="24"/>
          <w:szCs w:val="24"/>
        </w:rPr>
        <w:t>Veh</w:t>
      </w:r>
      <w:proofErr w:type="spellEnd"/>
      <w:r w:rsidR="00F37BA6">
        <w:rPr>
          <w:sz w:val="24"/>
          <w:szCs w:val="24"/>
        </w:rPr>
        <w:t>)</w:t>
      </w:r>
      <w:r w:rsidRPr="005A5EAE">
        <w:rPr>
          <w:sz w:val="24"/>
          <w:szCs w:val="24"/>
        </w:rPr>
        <w:t xml:space="preserve"> (</w:t>
      </w:r>
      <w:r w:rsidRPr="00D15BFB">
        <w:rPr>
          <w:b/>
          <w:bCs/>
          <w:sz w:val="24"/>
          <w:szCs w:val="24"/>
        </w:rPr>
        <w:t>Supplemental Fig. 2B</w:t>
      </w:r>
      <w:r w:rsidRPr="005A5EAE">
        <w:rPr>
          <w:sz w:val="24"/>
          <w:szCs w:val="24"/>
        </w:rPr>
        <w:t xml:space="preserve">). </w:t>
      </w:r>
      <w:r w:rsidR="00F37BA6">
        <w:rPr>
          <w:sz w:val="24"/>
          <w:szCs w:val="24"/>
        </w:rPr>
        <w:t>T</w:t>
      </w:r>
      <w:r w:rsidRPr="005A5EAE">
        <w:rPr>
          <w:sz w:val="24"/>
          <w:szCs w:val="24"/>
        </w:rPr>
        <w:t xml:space="preserve">he number of FJC-positive cells decreased </w:t>
      </w:r>
      <w:r w:rsidR="00F37BA6">
        <w:rPr>
          <w:sz w:val="24"/>
          <w:szCs w:val="24"/>
        </w:rPr>
        <w:t>a</w:t>
      </w:r>
      <w:r w:rsidR="00F37BA6" w:rsidRPr="005A5EAE">
        <w:rPr>
          <w:sz w:val="24"/>
          <w:szCs w:val="24"/>
        </w:rPr>
        <w:t xml:space="preserve">fter pretreatment of J4 </w:t>
      </w:r>
      <w:r w:rsidRPr="005A5EAE">
        <w:rPr>
          <w:sz w:val="24"/>
          <w:szCs w:val="24"/>
        </w:rPr>
        <w:t>(</w:t>
      </w:r>
      <w:r w:rsidRPr="00D15BFB">
        <w:rPr>
          <w:b/>
          <w:bCs/>
          <w:sz w:val="24"/>
          <w:szCs w:val="24"/>
        </w:rPr>
        <w:t>Supplemental Fig. 2C</w:t>
      </w:r>
      <w:r w:rsidRPr="005A5EAE">
        <w:rPr>
          <w:sz w:val="24"/>
          <w:szCs w:val="24"/>
        </w:rPr>
        <w:t xml:space="preserve">). </w:t>
      </w:r>
    </w:p>
    <w:p w:rsidR="00FB45D4" w:rsidRDefault="00FB45D4" w:rsidP="005A5EAE">
      <w:pPr>
        <w:rPr>
          <w:sz w:val="24"/>
          <w:szCs w:val="24"/>
        </w:rPr>
      </w:pPr>
    </w:p>
    <w:p w:rsidR="00FB45D4" w:rsidRPr="00FB45D4" w:rsidRDefault="00FB45D4" w:rsidP="005A5EAE">
      <w:pPr>
        <w:rPr>
          <w:b/>
          <w:bCs/>
          <w:sz w:val="24"/>
          <w:szCs w:val="24"/>
        </w:rPr>
      </w:pPr>
      <w:r w:rsidRPr="00FB45D4">
        <w:rPr>
          <w:b/>
          <w:bCs/>
          <w:sz w:val="24"/>
          <w:szCs w:val="24"/>
        </w:rPr>
        <w:t>Supplementary Figure 3</w:t>
      </w:r>
    </w:p>
    <w:p w:rsidR="00FB45D4" w:rsidRPr="00FB45D4" w:rsidRDefault="00FB45D4" w:rsidP="005A5EAE">
      <w:pPr>
        <w:rPr>
          <w:i/>
          <w:iCs/>
          <w:sz w:val="24"/>
          <w:szCs w:val="24"/>
        </w:rPr>
      </w:pPr>
      <w:r w:rsidRPr="00FB45D4">
        <w:rPr>
          <w:i/>
          <w:iCs/>
          <w:sz w:val="24"/>
          <w:szCs w:val="24"/>
        </w:rPr>
        <w:t xml:space="preserve">PTZ-induced seizures caused </w:t>
      </w:r>
      <w:r w:rsidR="00F54686">
        <w:rPr>
          <w:i/>
          <w:iCs/>
          <w:sz w:val="24"/>
          <w:szCs w:val="24"/>
        </w:rPr>
        <w:t>no prominent difference</w:t>
      </w:r>
      <w:r w:rsidRPr="00FB45D4">
        <w:rPr>
          <w:i/>
          <w:iCs/>
          <w:sz w:val="24"/>
          <w:szCs w:val="24"/>
        </w:rPr>
        <w:t xml:space="preserve"> in</w:t>
      </w:r>
      <w:r>
        <w:rPr>
          <w:i/>
          <w:iCs/>
          <w:sz w:val="24"/>
          <w:szCs w:val="24"/>
        </w:rPr>
        <w:t xml:space="preserve"> the</w:t>
      </w:r>
      <w:r w:rsidRPr="00FB45D4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dentate gyrus</w:t>
      </w:r>
      <w:r w:rsidRPr="00FB45D4">
        <w:rPr>
          <w:i/>
          <w:iCs/>
          <w:sz w:val="24"/>
          <w:szCs w:val="24"/>
        </w:rPr>
        <w:t xml:space="preserve"> </w:t>
      </w:r>
      <w:r w:rsidR="00C94698">
        <w:rPr>
          <w:i/>
          <w:iCs/>
          <w:sz w:val="24"/>
          <w:szCs w:val="24"/>
        </w:rPr>
        <w:t xml:space="preserve">and CA3 </w:t>
      </w:r>
      <w:r>
        <w:rPr>
          <w:i/>
          <w:iCs/>
          <w:sz w:val="24"/>
          <w:szCs w:val="24"/>
        </w:rPr>
        <w:t>of</w:t>
      </w:r>
      <w:r w:rsidRPr="00FB45D4">
        <w:rPr>
          <w:i/>
          <w:iCs/>
          <w:sz w:val="24"/>
          <w:szCs w:val="24"/>
        </w:rPr>
        <w:t xml:space="preserve"> Tsc2</w:t>
      </w:r>
      <w:r w:rsidRPr="00FB45D4">
        <w:rPr>
          <w:i/>
          <w:iCs/>
          <w:sz w:val="24"/>
          <w:szCs w:val="24"/>
          <w:vertAlign w:val="superscript"/>
        </w:rPr>
        <w:t>+/–</w:t>
      </w:r>
      <w:r w:rsidRPr="00FB45D4">
        <w:rPr>
          <w:i/>
          <w:iCs/>
          <w:sz w:val="24"/>
          <w:szCs w:val="24"/>
        </w:rPr>
        <w:t xml:space="preserve"> mice</w:t>
      </w:r>
    </w:p>
    <w:p w:rsidR="001C025B" w:rsidRDefault="004F4C8C" w:rsidP="001E6742">
      <w:pPr>
        <w:jc w:val="both"/>
        <w:rPr>
          <w:sz w:val="24"/>
          <w:szCs w:val="24"/>
        </w:rPr>
      </w:pPr>
      <w:proofErr w:type="spellStart"/>
      <w:r w:rsidRPr="005A5EAE">
        <w:rPr>
          <w:sz w:val="24"/>
          <w:szCs w:val="24"/>
        </w:rPr>
        <w:t>Fluoro</w:t>
      </w:r>
      <w:proofErr w:type="spellEnd"/>
      <w:r w:rsidRPr="005A5EAE">
        <w:rPr>
          <w:sz w:val="24"/>
          <w:szCs w:val="24"/>
        </w:rPr>
        <w:t xml:space="preserve">-Jade C </w:t>
      </w:r>
      <w:r>
        <w:rPr>
          <w:sz w:val="24"/>
          <w:szCs w:val="24"/>
        </w:rPr>
        <w:t xml:space="preserve">(FJC) </w:t>
      </w:r>
      <w:r w:rsidRPr="005A5EAE">
        <w:rPr>
          <w:sz w:val="24"/>
          <w:szCs w:val="24"/>
        </w:rPr>
        <w:t xml:space="preserve">staining </w:t>
      </w:r>
      <w:r>
        <w:rPr>
          <w:sz w:val="24"/>
          <w:szCs w:val="24"/>
        </w:rPr>
        <w:t>was performed to a</w:t>
      </w:r>
      <w:r w:rsidRPr="005A5EAE">
        <w:rPr>
          <w:sz w:val="24"/>
          <w:szCs w:val="24"/>
        </w:rPr>
        <w:t>nalyze the degenerating cells at the</w:t>
      </w:r>
      <w:r>
        <w:rPr>
          <w:sz w:val="24"/>
          <w:szCs w:val="24"/>
        </w:rPr>
        <w:t xml:space="preserve"> dentate gyrus </w:t>
      </w:r>
      <w:r w:rsidR="007A6CC0">
        <w:rPr>
          <w:sz w:val="24"/>
          <w:szCs w:val="24"/>
        </w:rPr>
        <w:t>(</w:t>
      </w:r>
      <w:r w:rsidR="007A6CC0" w:rsidRPr="007A6CC0">
        <w:rPr>
          <w:b/>
          <w:bCs/>
          <w:sz w:val="24"/>
          <w:szCs w:val="24"/>
        </w:rPr>
        <w:t>Supplementary Fig. 3A</w:t>
      </w:r>
      <w:r w:rsidR="007A6CC0">
        <w:rPr>
          <w:sz w:val="24"/>
          <w:szCs w:val="24"/>
        </w:rPr>
        <w:t xml:space="preserve">). After PTZ induced seizures, </w:t>
      </w:r>
      <w:r w:rsidR="007A6CC0" w:rsidRPr="00FB45D4">
        <w:rPr>
          <w:i/>
          <w:iCs/>
          <w:sz w:val="24"/>
          <w:szCs w:val="24"/>
        </w:rPr>
        <w:t>Tsc2</w:t>
      </w:r>
      <w:r w:rsidR="007A6CC0" w:rsidRPr="007A6CC0">
        <w:rPr>
          <w:i/>
          <w:iCs/>
          <w:sz w:val="24"/>
          <w:szCs w:val="24"/>
          <w:vertAlign w:val="superscript"/>
        </w:rPr>
        <w:t>+/–</w:t>
      </w:r>
      <w:r w:rsidR="007A6CC0" w:rsidRPr="007A6CC0">
        <w:rPr>
          <w:sz w:val="24"/>
          <w:szCs w:val="24"/>
          <w:vertAlign w:val="superscript"/>
        </w:rPr>
        <w:t xml:space="preserve"> </w:t>
      </w:r>
      <w:r w:rsidR="007A6CC0" w:rsidRPr="005A5EAE">
        <w:rPr>
          <w:sz w:val="24"/>
          <w:szCs w:val="24"/>
        </w:rPr>
        <w:t>mice</w:t>
      </w:r>
      <w:r w:rsidR="007A6CC0">
        <w:rPr>
          <w:sz w:val="24"/>
          <w:szCs w:val="24"/>
        </w:rPr>
        <w:t xml:space="preserve"> showed increased FJC-positive cells (marked by the arrows) (</w:t>
      </w:r>
      <w:r w:rsidR="007A6CC0" w:rsidRPr="007A6CC0">
        <w:rPr>
          <w:b/>
          <w:bCs/>
          <w:sz w:val="24"/>
          <w:szCs w:val="24"/>
        </w:rPr>
        <w:t>Supplementary Fig. 3A</w:t>
      </w:r>
      <w:r w:rsidR="007A6CC0">
        <w:rPr>
          <w:sz w:val="24"/>
          <w:szCs w:val="24"/>
        </w:rPr>
        <w:t xml:space="preserve">, </w:t>
      </w:r>
      <w:r w:rsidR="007A6CC0" w:rsidRPr="007A6CC0">
        <w:rPr>
          <w:i/>
          <w:iCs/>
          <w:sz w:val="24"/>
          <w:szCs w:val="24"/>
        </w:rPr>
        <w:t>middle panel</w:t>
      </w:r>
      <w:r w:rsidR="007A6CC0">
        <w:rPr>
          <w:sz w:val="24"/>
          <w:szCs w:val="24"/>
        </w:rPr>
        <w:t xml:space="preserve">). J4 </w:t>
      </w:r>
      <w:r w:rsidR="007A6CC0">
        <w:rPr>
          <w:sz w:val="24"/>
          <w:szCs w:val="24"/>
        </w:rPr>
        <w:lastRenderedPageBreak/>
        <w:t>pretreatment reduced the FJC-positive cells (</w:t>
      </w:r>
      <w:r w:rsidR="007A6CC0" w:rsidRPr="007A6CC0">
        <w:rPr>
          <w:b/>
          <w:bCs/>
          <w:sz w:val="24"/>
          <w:szCs w:val="24"/>
        </w:rPr>
        <w:t>Supplementary Fig. 3A</w:t>
      </w:r>
      <w:r w:rsidR="007A6CC0">
        <w:rPr>
          <w:sz w:val="24"/>
          <w:szCs w:val="24"/>
        </w:rPr>
        <w:t xml:space="preserve">, </w:t>
      </w:r>
      <w:r w:rsidR="007A6CC0">
        <w:rPr>
          <w:i/>
          <w:iCs/>
          <w:sz w:val="24"/>
          <w:szCs w:val="24"/>
        </w:rPr>
        <w:t>right</w:t>
      </w:r>
      <w:r w:rsidR="007A6CC0" w:rsidRPr="007A6CC0">
        <w:rPr>
          <w:i/>
          <w:iCs/>
          <w:sz w:val="24"/>
          <w:szCs w:val="24"/>
        </w:rPr>
        <w:t xml:space="preserve"> panel</w:t>
      </w:r>
      <w:r w:rsidR="007A6CC0">
        <w:rPr>
          <w:sz w:val="24"/>
          <w:szCs w:val="24"/>
        </w:rPr>
        <w:t>).</w:t>
      </w:r>
      <w:r w:rsidR="00252D87">
        <w:rPr>
          <w:sz w:val="24"/>
          <w:szCs w:val="24"/>
        </w:rPr>
        <w:t xml:space="preserve"> Nissl-staining was performed to assess the neuronal loss at the hippocampal subfields, </w:t>
      </w:r>
      <w:proofErr w:type="spellStart"/>
      <w:r w:rsidR="00252D87">
        <w:rPr>
          <w:sz w:val="24"/>
          <w:szCs w:val="24"/>
        </w:rPr>
        <w:t>ie</w:t>
      </w:r>
      <w:proofErr w:type="spellEnd"/>
      <w:r w:rsidR="00252D87">
        <w:rPr>
          <w:sz w:val="24"/>
          <w:szCs w:val="24"/>
        </w:rPr>
        <w:t>., DG, CA1, and CA3 (</w:t>
      </w:r>
      <w:r w:rsidR="00252D87" w:rsidRPr="00252D87">
        <w:rPr>
          <w:b/>
          <w:bCs/>
          <w:sz w:val="24"/>
          <w:szCs w:val="24"/>
        </w:rPr>
        <w:t>Supplementary Fig. 3B</w:t>
      </w:r>
      <w:r w:rsidR="00252D87">
        <w:rPr>
          <w:sz w:val="24"/>
          <w:szCs w:val="24"/>
        </w:rPr>
        <w:t xml:space="preserve">). No prominent changes were observed. </w:t>
      </w:r>
    </w:p>
    <w:p w:rsidR="002403AF" w:rsidRPr="002403AF" w:rsidRDefault="002403AF" w:rsidP="001E6742">
      <w:pPr>
        <w:rPr>
          <w:rFonts w:hint="eastAsia"/>
        </w:rPr>
      </w:pPr>
    </w:p>
    <w:sectPr w:rsidR="002403AF" w:rsidRPr="002403AF" w:rsidSect="00D659B6">
      <w:pgSz w:w="11900" w:h="16840"/>
      <w:pgMar w:top="1701" w:right="1134" w:bottom="1701" w:left="1701" w:header="851" w:footer="992" w:gutter="0"/>
      <w:cols w:space="425"/>
      <w:docGrid w:type="lines"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行楷-繁">
    <w:altName w:val="微軟正黑體"/>
    <w:panose1 w:val="02010600040101010101"/>
    <w:charset w:val="88"/>
    <w:family w:val="auto"/>
    <w:pitch w:val="variable"/>
    <w:sig w:usb0="00000287" w:usb1="080F0000" w:usb2="00000010" w:usb3="00000000" w:csb0="0014009F" w:csb1="00000000"/>
  </w:font>
  <w:font w:name="標楷體">
    <w:altName w:val="微軟正黑體"/>
    <w:panose1 w:val="02010601000101010101"/>
    <w:charset w:val="88"/>
    <w:family w:val="auto"/>
    <w:pitch w:val="variable"/>
    <w:sig w:usb0="00000003" w:usb1="08080000" w:usb2="00000010" w:usb3="00000000" w:csb0="001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C64CD"/>
    <w:multiLevelType w:val="multilevel"/>
    <w:tmpl w:val="45A64AA6"/>
    <w:styleLink w:val="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B5288A"/>
    <w:multiLevelType w:val="hybridMultilevel"/>
    <w:tmpl w:val="5400F028"/>
    <w:lvl w:ilvl="0" w:tplc="5DD400EE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AEA0F9F"/>
    <w:multiLevelType w:val="hybridMultilevel"/>
    <w:tmpl w:val="96B2C346"/>
    <w:lvl w:ilvl="0" w:tplc="EE9ECC5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4A7331"/>
    <w:multiLevelType w:val="hybridMultilevel"/>
    <w:tmpl w:val="D8EA17C0"/>
    <w:lvl w:ilvl="0" w:tplc="A9F254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79D0254"/>
    <w:multiLevelType w:val="hybridMultilevel"/>
    <w:tmpl w:val="45A64AA6"/>
    <w:lvl w:ilvl="0" w:tplc="97E6B91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ED471AD"/>
    <w:multiLevelType w:val="multilevel"/>
    <w:tmpl w:val="96B2C346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41436204">
    <w:abstractNumId w:val="3"/>
  </w:num>
  <w:num w:numId="2" w16cid:durableId="1181310544">
    <w:abstractNumId w:val="2"/>
  </w:num>
  <w:num w:numId="3" w16cid:durableId="992099185">
    <w:abstractNumId w:val="5"/>
  </w:num>
  <w:num w:numId="4" w16cid:durableId="1876385741">
    <w:abstractNumId w:val="1"/>
  </w:num>
  <w:num w:numId="5" w16cid:durableId="776291078">
    <w:abstractNumId w:val="4"/>
  </w:num>
  <w:num w:numId="6" w16cid:durableId="161317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/>
  <w:defaultTabStop w:val="480"/>
  <w:drawingGridVerticalSpacing w:val="2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EAE"/>
    <w:rsid w:val="0000463E"/>
    <w:rsid w:val="00006C5B"/>
    <w:rsid w:val="00022A74"/>
    <w:rsid w:val="00024D69"/>
    <w:rsid w:val="00025417"/>
    <w:rsid w:val="00026CAA"/>
    <w:rsid w:val="00027580"/>
    <w:rsid w:val="00041A4D"/>
    <w:rsid w:val="000614B1"/>
    <w:rsid w:val="00062C3F"/>
    <w:rsid w:val="000646F9"/>
    <w:rsid w:val="0007356B"/>
    <w:rsid w:val="000849F7"/>
    <w:rsid w:val="00090710"/>
    <w:rsid w:val="00096E33"/>
    <w:rsid w:val="000A4E40"/>
    <w:rsid w:val="000B2DC6"/>
    <w:rsid w:val="000B365F"/>
    <w:rsid w:val="000B38CA"/>
    <w:rsid w:val="000C39C3"/>
    <w:rsid w:val="000D0835"/>
    <w:rsid w:val="000D46B5"/>
    <w:rsid w:val="000E2C8A"/>
    <w:rsid w:val="000F0766"/>
    <w:rsid w:val="000F3C34"/>
    <w:rsid w:val="000F4B34"/>
    <w:rsid w:val="001038E5"/>
    <w:rsid w:val="0011289D"/>
    <w:rsid w:val="00115623"/>
    <w:rsid w:val="0011652E"/>
    <w:rsid w:val="00122451"/>
    <w:rsid w:val="00124D06"/>
    <w:rsid w:val="00125DB2"/>
    <w:rsid w:val="001318A0"/>
    <w:rsid w:val="001318D6"/>
    <w:rsid w:val="00166AED"/>
    <w:rsid w:val="00171F26"/>
    <w:rsid w:val="00177B6A"/>
    <w:rsid w:val="001844B4"/>
    <w:rsid w:val="00185DDF"/>
    <w:rsid w:val="0018698B"/>
    <w:rsid w:val="0019312F"/>
    <w:rsid w:val="00196347"/>
    <w:rsid w:val="00196696"/>
    <w:rsid w:val="001B7980"/>
    <w:rsid w:val="001C025B"/>
    <w:rsid w:val="001E38DA"/>
    <w:rsid w:val="001E3E6C"/>
    <w:rsid w:val="001E4A04"/>
    <w:rsid w:val="001E503C"/>
    <w:rsid w:val="001E6742"/>
    <w:rsid w:val="001F0220"/>
    <w:rsid w:val="001F3020"/>
    <w:rsid w:val="001F3A67"/>
    <w:rsid w:val="001F4689"/>
    <w:rsid w:val="002036B4"/>
    <w:rsid w:val="002108BC"/>
    <w:rsid w:val="00221617"/>
    <w:rsid w:val="0022319C"/>
    <w:rsid w:val="00223790"/>
    <w:rsid w:val="0023747A"/>
    <w:rsid w:val="00237C07"/>
    <w:rsid w:val="002403AF"/>
    <w:rsid w:val="002416DD"/>
    <w:rsid w:val="00244C59"/>
    <w:rsid w:val="00250B24"/>
    <w:rsid w:val="00252D87"/>
    <w:rsid w:val="00257DFE"/>
    <w:rsid w:val="00260171"/>
    <w:rsid w:val="00280ADB"/>
    <w:rsid w:val="00285BC5"/>
    <w:rsid w:val="002861BA"/>
    <w:rsid w:val="002A24B6"/>
    <w:rsid w:val="002A3A4A"/>
    <w:rsid w:val="002A3CA4"/>
    <w:rsid w:val="002A564C"/>
    <w:rsid w:val="002C30D8"/>
    <w:rsid w:val="002D1EB9"/>
    <w:rsid w:val="002D320F"/>
    <w:rsid w:val="002D3BE7"/>
    <w:rsid w:val="002D7732"/>
    <w:rsid w:val="002E2287"/>
    <w:rsid w:val="002E6932"/>
    <w:rsid w:val="002F045B"/>
    <w:rsid w:val="002F2CFF"/>
    <w:rsid w:val="00304B19"/>
    <w:rsid w:val="00327115"/>
    <w:rsid w:val="00331D4B"/>
    <w:rsid w:val="00340176"/>
    <w:rsid w:val="00352687"/>
    <w:rsid w:val="00353C6B"/>
    <w:rsid w:val="00382DF4"/>
    <w:rsid w:val="003A1F3B"/>
    <w:rsid w:val="003A5A03"/>
    <w:rsid w:val="003B5B4C"/>
    <w:rsid w:val="003C256F"/>
    <w:rsid w:val="003C27B4"/>
    <w:rsid w:val="003D2722"/>
    <w:rsid w:val="00403EB3"/>
    <w:rsid w:val="00403FB2"/>
    <w:rsid w:val="00414964"/>
    <w:rsid w:val="00426A0A"/>
    <w:rsid w:val="004274EB"/>
    <w:rsid w:val="00435E82"/>
    <w:rsid w:val="00435ED5"/>
    <w:rsid w:val="00447385"/>
    <w:rsid w:val="00450B14"/>
    <w:rsid w:val="00463623"/>
    <w:rsid w:val="00481727"/>
    <w:rsid w:val="004839B0"/>
    <w:rsid w:val="00491E98"/>
    <w:rsid w:val="004920EA"/>
    <w:rsid w:val="00497D80"/>
    <w:rsid w:val="004A0807"/>
    <w:rsid w:val="004A5D88"/>
    <w:rsid w:val="004B2485"/>
    <w:rsid w:val="004B25EC"/>
    <w:rsid w:val="004D5CF9"/>
    <w:rsid w:val="004D7487"/>
    <w:rsid w:val="004E46B6"/>
    <w:rsid w:val="004E583F"/>
    <w:rsid w:val="004E660D"/>
    <w:rsid w:val="004F4C8C"/>
    <w:rsid w:val="0050387B"/>
    <w:rsid w:val="005142D6"/>
    <w:rsid w:val="005159A2"/>
    <w:rsid w:val="00516B43"/>
    <w:rsid w:val="00533BE5"/>
    <w:rsid w:val="005368C0"/>
    <w:rsid w:val="00537695"/>
    <w:rsid w:val="00545B37"/>
    <w:rsid w:val="0054721B"/>
    <w:rsid w:val="00555A51"/>
    <w:rsid w:val="00555E9D"/>
    <w:rsid w:val="00556E79"/>
    <w:rsid w:val="00580273"/>
    <w:rsid w:val="005927C9"/>
    <w:rsid w:val="00596AFE"/>
    <w:rsid w:val="005973E3"/>
    <w:rsid w:val="005A5EAE"/>
    <w:rsid w:val="005C2562"/>
    <w:rsid w:val="005C7671"/>
    <w:rsid w:val="005D3A42"/>
    <w:rsid w:val="005D5011"/>
    <w:rsid w:val="005E0023"/>
    <w:rsid w:val="005E262D"/>
    <w:rsid w:val="005F1E11"/>
    <w:rsid w:val="005F3054"/>
    <w:rsid w:val="005F3370"/>
    <w:rsid w:val="00620D44"/>
    <w:rsid w:val="00623DC5"/>
    <w:rsid w:val="00640F70"/>
    <w:rsid w:val="00647AEC"/>
    <w:rsid w:val="0065046F"/>
    <w:rsid w:val="006540E2"/>
    <w:rsid w:val="00656FBF"/>
    <w:rsid w:val="00677A27"/>
    <w:rsid w:val="00683C54"/>
    <w:rsid w:val="00686882"/>
    <w:rsid w:val="006B4C33"/>
    <w:rsid w:val="006B5D37"/>
    <w:rsid w:val="006B6F74"/>
    <w:rsid w:val="006C07D1"/>
    <w:rsid w:val="006C4B58"/>
    <w:rsid w:val="006C541D"/>
    <w:rsid w:val="006C5D83"/>
    <w:rsid w:val="006D61E3"/>
    <w:rsid w:val="006D6603"/>
    <w:rsid w:val="006E0D7C"/>
    <w:rsid w:val="006E4616"/>
    <w:rsid w:val="006F2C07"/>
    <w:rsid w:val="007014F5"/>
    <w:rsid w:val="007026A5"/>
    <w:rsid w:val="007040F3"/>
    <w:rsid w:val="00706F34"/>
    <w:rsid w:val="00711A54"/>
    <w:rsid w:val="00713085"/>
    <w:rsid w:val="00713EF9"/>
    <w:rsid w:val="00715806"/>
    <w:rsid w:val="00722B63"/>
    <w:rsid w:val="00730016"/>
    <w:rsid w:val="0075271D"/>
    <w:rsid w:val="00756618"/>
    <w:rsid w:val="00762BF7"/>
    <w:rsid w:val="00763EA5"/>
    <w:rsid w:val="0076757B"/>
    <w:rsid w:val="007746A9"/>
    <w:rsid w:val="007902CC"/>
    <w:rsid w:val="00792D34"/>
    <w:rsid w:val="007A0ABB"/>
    <w:rsid w:val="007A3FB4"/>
    <w:rsid w:val="007A438B"/>
    <w:rsid w:val="007A6CC0"/>
    <w:rsid w:val="007B16C0"/>
    <w:rsid w:val="007B3E30"/>
    <w:rsid w:val="007D26E8"/>
    <w:rsid w:val="007D75CA"/>
    <w:rsid w:val="007D7DB2"/>
    <w:rsid w:val="007E0707"/>
    <w:rsid w:val="007E2EB6"/>
    <w:rsid w:val="007E31DA"/>
    <w:rsid w:val="007E3E0B"/>
    <w:rsid w:val="007E40B2"/>
    <w:rsid w:val="007E7BC5"/>
    <w:rsid w:val="007F786F"/>
    <w:rsid w:val="00812FA7"/>
    <w:rsid w:val="00816E1E"/>
    <w:rsid w:val="00837E1F"/>
    <w:rsid w:val="00840925"/>
    <w:rsid w:val="00841F44"/>
    <w:rsid w:val="00853EB8"/>
    <w:rsid w:val="008651CA"/>
    <w:rsid w:val="00870313"/>
    <w:rsid w:val="00873F6E"/>
    <w:rsid w:val="008810F1"/>
    <w:rsid w:val="00895717"/>
    <w:rsid w:val="008A2363"/>
    <w:rsid w:val="008A4DBF"/>
    <w:rsid w:val="008D54F0"/>
    <w:rsid w:val="008E0490"/>
    <w:rsid w:val="008E5959"/>
    <w:rsid w:val="008F0D1A"/>
    <w:rsid w:val="008F2C91"/>
    <w:rsid w:val="008F3BD5"/>
    <w:rsid w:val="008F6C7B"/>
    <w:rsid w:val="008F7E4C"/>
    <w:rsid w:val="00900304"/>
    <w:rsid w:val="00902384"/>
    <w:rsid w:val="009265B9"/>
    <w:rsid w:val="00933D13"/>
    <w:rsid w:val="00950C21"/>
    <w:rsid w:val="009662A9"/>
    <w:rsid w:val="00985ADF"/>
    <w:rsid w:val="00990BF3"/>
    <w:rsid w:val="009A3D9D"/>
    <w:rsid w:val="009A5A32"/>
    <w:rsid w:val="009B34A9"/>
    <w:rsid w:val="009C2BB3"/>
    <w:rsid w:val="009E64DB"/>
    <w:rsid w:val="00A01459"/>
    <w:rsid w:val="00A0210F"/>
    <w:rsid w:val="00A05440"/>
    <w:rsid w:val="00A05E57"/>
    <w:rsid w:val="00A13BE7"/>
    <w:rsid w:val="00A26C73"/>
    <w:rsid w:val="00A26E2F"/>
    <w:rsid w:val="00A273AE"/>
    <w:rsid w:val="00A325A2"/>
    <w:rsid w:val="00A35838"/>
    <w:rsid w:val="00A4284D"/>
    <w:rsid w:val="00A51D4F"/>
    <w:rsid w:val="00A54A39"/>
    <w:rsid w:val="00A6311D"/>
    <w:rsid w:val="00A644A7"/>
    <w:rsid w:val="00A8464B"/>
    <w:rsid w:val="00A87F66"/>
    <w:rsid w:val="00A91BB2"/>
    <w:rsid w:val="00AA07C1"/>
    <w:rsid w:val="00AA64EA"/>
    <w:rsid w:val="00AA7ACA"/>
    <w:rsid w:val="00AC3937"/>
    <w:rsid w:val="00AD276C"/>
    <w:rsid w:val="00AE1626"/>
    <w:rsid w:val="00AE3E7C"/>
    <w:rsid w:val="00AE476A"/>
    <w:rsid w:val="00AE6031"/>
    <w:rsid w:val="00AE77DC"/>
    <w:rsid w:val="00B00A93"/>
    <w:rsid w:val="00B05C5B"/>
    <w:rsid w:val="00B16D01"/>
    <w:rsid w:val="00B17E84"/>
    <w:rsid w:val="00B26A1C"/>
    <w:rsid w:val="00B365A9"/>
    <w:rsid w:val="00B36EFD"/>
    <w:rsid w:val="00B46404"/>
    <w:rsid w:val="00B55661"/>
    <w:rsid w:val="00B61AF9"/>
    <w:rsid w:val="00B62B19"/>
    <w:rsid w:val="00B67D6B"/>
    <w:rsid w:val="00B728A1"/>
    <w:rsid w:val="00B75B22"/>
    <w:rsid w:val="00B83C8D"/>
    <w:rsid w:val="00B919A0"/>
    <w:rsid w:val="00B93403"/>
    <w:rsid w:val="00BA2A78"/>
    <w:rsid w:val="00BA7783"/>
    <w:rsid w:val="00BC7F42"/>
    <w:rsid w:val="00BD692D"/>
    <w:rsid w:val="00BD72AB"/>
    <w:rsid w:val="00BE1EE4"/>
    <w:rsid w:val="00BE44A9"/>
    <w:rsid w:val="00BE5944"/>
    <w:rsid w:val="00BE754E"/>
    <w:rsid w:val="00BF5A3C"/>
    <w:rsid w:val="00C0204A"/>
    <w:rsid w:val="00C22BB3"/>
    <w:rsid w:val="00C33892"/>
    <w:rsid w:val="00C350E8"/>
    <w:rsid w:val="00C41ADE"/>
    <w:rsid w:val="00C7335E"/>
    <w:rsid w:val="00C94698"/>
    <w:rsid w:val="00C96FE7"/>
    <w:rsid w:val="00CA01B2"/>
    <w:rsid w:val="00CA6928"/>
    <w:rsid w:val="00CB67D8"/>
    <w:rsid w:val="00CC2282"/>
    <w:rsid w:val="00CC43F1"/>
    <w:rsid w:val="00CF206B"/>
    <w:rsid w:val="00CF2840"/>
    <w:rsid w:val="00CF321C"/>
    <w:rsid w:val="00CF3D13"/>
    <w:rsid w:val="00D015EF"/>
    <w:rsid w:val="00D06BFE"/>
    <w:rsid w:val="00D15BFB"/>
    <w:rsid w:val="00D17194"/>
    <w:rsid w:val="00D1754D"/>
    <w:rsid w:val="00D27E9E"/>
    <w:rsid w:val="00D356FD"/>
    <w:rsid w:val="00D40EB8"/>
    <w:rsid w:val="00D4125A"/>
    <w:rsid w:val="00D424A4"/>
    <w:rsid w:val="00D43518"/>
    <w:rsid w:val="00D470E6"/>
    <w:rsid w:val="00D50DDD"/>
    <w:rsid w:val="00D52957"/>
    <w:rsid w:val="00D54809"/>
    <w:rsid w:val="00D56E0E"/>
    <w:rsid w:val="00D614B2"/>
    <w:rsid w:val="00D659B6"/>
    <w:rsid w:val="00D663DC"/>
    <w:rsid w:val="00D6794A"/>
    <w:rsid w:val="00D77342"/>
    <w:rsid w:val="00D8113C"/>
    <w:rsid w:val="00D82C83"/>
    <w:rsid w:val="00D82EA5"/>
    <w:rsid w:val="00D86103"/>
    <w:rsid w:val="00D90D02"/>
    <w:rsid w:val="00DA488A"/>
    <w:rsid w:val="00DA5482"/>
    <w:rsid w:val="00DB29CE"/>
    <w:rsid w:val="00DD30D2"/>
    <w:rsid w:val="00DD7577"/>
    <w:rsid w:val="00DF14CC"/>
    <w:rsid w:val="00DF1523"/>
    <w:rsid w:val="00DF1DE2"/>
    <w:rsid w:val="00E0251C"/>
    <w:rsid w:val="00E106B6"/>
    <w:rsid w:val="00E16450"/>
    <w:rsid w:val="00E50A49"/>
    <w:rsid w:val="00E73FE4"/>
    <w:rsid w:val="00E76D56"/>
    <w:rsid w:val="00E84CA8"/>
    <w:rsid w:val="00E85B32"/>
    <w:rsid w:val="00E86EE5"/>
    <w:rsid w:val="00E86FF7"/>
    <w:rsid w:val="00E956A1"/>
    <w:rsid w:val="00EB32D6"/>
    <w:rsid w:val="00EB5C49"/>
    <w:rsid w:val="00EC2FEA"/>
    <w:rsid w:val="00EC680E"/>
    <w:rsid w:val="00ED01F9"/>
    <w:rsid w:val="00ED2DC0"/>
    <w:rsid w:val="00ED7094"/>
    <w:rsid w:val="00EF20A3"/>
    <w:rsid w:val="00F03387"/>
    <w:rsid w:val="00F10211"/>
    <w:rsid w:val="00F12FC9"/>
    <w:rsid w:val="00F37BA6"/>
    <w:rsid w:val="00F44D78"/>
    <w:rsid w:val="00F52B0F"/>
    <w:rsid w:val="00F54686"/>
    <w:rsid w:val="00F66FA5"/>
    <w:rsid w:val="00F721E4"/>
    <w:rsid w:val="00F81577"/>
    <w:rsid w:val="00F82A87"/>
    <w:rsid w:val="00F87EFA"/>
    <w:rsid w:val="00FA47C3"/>
    <w:rsid w:val="00FA48D1"/>
    <w:rsid w:val="00FB45D4"/>
    <w:rsid w:val="00FC2605"/>
    <w:rsid w:val="00FD0DA2"/>
    <w:rsid w:val="00FD6392"/>
    <w:rsid w:val="00FF0848"/>
    <w:rsid w:val="00FF2B5C"/>
    <w:rsid w:val="00FF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6091E"/>
  <w15:chartTrackingRefBased/>
  <w15:docId w15:val="{45842830-6F99-1741-BC9C-72BAC4A9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rsid w:val="00285BC5"/>
    <w:rPr>
      <w:rFonts w:ascii="Times New Roman" w:eastAsia="Times New Roman" w:hAnsi="Times New Roman" w:cs="Times New Roman"/>
      <w:sz w:val="36"/>
      <w:szCs w:val="22"/>
    </w:rPr>
  </w:style>
  <w:style w:type="paragraph" w:styleId="10">
    <w:name w:val="heading 1"/>
    <w:basedOn w:val="a"/>
    <w:next w:val="a"/>
    <w:link w:val="11"/>
    <w:uiPriority w:val="9"/>
    <w:qFormat/>
    <w:rsid w:val="005A5E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5A5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5EAE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5EAE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5E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5E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5EAE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EAE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5EAE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樣式2"/>
    <w:basedOn w:val="a"/>
    <w:next w:val="a"/>
    <w:qFormat/>
    <w:rsid w:val="00B55661"/>
    <w:pPr>
      <w:widowControl w:val="0"/>
      <w:adjustRightInd w:val="0"/>
      <w:snapToGrid w:val="0"/>
      <w:spacing w:line="240" w:lineRule="atLeast"/>
      <w:ind w:left="425" w:firstLine="482"/>
      <w:jc w:val="both"/>
    </w:pPr>
    <w:rPr>
      <w:color w:val="000000" w:themeColor="text1"/>
      <w:sz w:val="24"/>
    </w:rPr>
  </w:style>
  <w:style w:type="paragraph" w:customStyle="1" w:styleId="12">
    <w:name w:val="樣式12"/>
    <w:basedOn w:val="a"/>
    <w:qFormat/>
    <w:rsid w:val="00B55661"/>
    <w:pPr>
      <w:widowControl w:val="0"/>
      <w:spacing w:line="360" w:lineRule="auto"/>
      <w:jc w:val="both"/>
    </w:pPr>
    <w:rPr>
      <w:rFonts w:eastAsia="行楷-繁"/>
      <w:color w:val="000000" w:themeColor="text1"/>
      <w:sz w:val="24"/>
    </w:rPr>
  </w:style>
  <w:style w:type="character" w:styleId="a3">
    <w:name w:val="Emphasis"/>
    <w:basedOn w:val="a0"/>
    <w:uiPriority w:val="20"/>
    <w:qFormat/>
    <w:rsid w:val="00B55661"/>
    <w:rPr>
      <w:i/>
      <w:iCs/>
    </w:rPr>
  </w:style>
  <w:style w:type="paragraph" w:styleId="a4">
    <w:name w:val="List Paragraph"/>
    <w:basedOn w:val="a"/>
    <w:uiPriority w:val="34"/>
    <w:qFormat/>
    <w:rsid w:val="00B55661"/>
    <w:pPr>
      <w:widowControl w:val="0"/>
      <w:spacing w:line="360" w:lineRule="auto"/>
      <w:ind w:leftChars="200" w:left="480"/>
      <w:jc w:val="center"/>
    </w:pPr>
    <w:rPr>
      <w:sz w:val="24"/>
    </w:rPr>
  </w:style>
  <w:style w:type="character" w:customStyle="1" w:styleId="11">
    <w:name w:val="標題 1 字元"/>
    <w:basedOn w:val="a0"/>
    <w:link w:val="10"/>
    <w:uiPriority w:val="9"/>
    <w:rsid w:val="005A5EA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5A5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5EA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5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5EAE"/>
    <w:rPr>
      <w:rFonts w:eastAsiaTheme="majorEastAsia" w:cstheme="majorBidi"/>
      <w:color w:val="0F4761" w:themeColor="accent1" w:themeShade="BF"/>
      <w:sz w:val="36"/>
      <w:szCs w:val="22"/>
    </w:rPr>
  </w:style>
  <w:style w:type="character" w:customStyle="1" w:styleId="60">
    <w:name w:val="標題 6 字元"/>
    <w:basedOn w:val="a0"/>
    <w:link w:val="6"/>
    <w:uiPriority w:val="9"/>
    <w:semiHidden/>
    <w:rsid w:val="005A5EAE"/>
    <w:rPr>
      <w:rFonts w:eastAsiaTheme="majorEastAsia" w:cstheme="majorBidi"/>
      <w:color w:val="595959" w:themeColor="text1" w:themeTint="A6"/>
      <w:sz w:val="36"/>
      <w:szCs w:val="22"/>
    </w:rPr>
  </w:style>
  <w:style w:type="character" w:customStyle="1" w:styleId="70">
    <w:name w:val="標題 7 字元"/>
    <w:basedOn w:val="a0"/>
    <w:link w:val="7"/>
    <w:uiPriority w:val="9"/>
    <w:semiHidden/>
    <w:rsid w:val="005A5EAE"/>
    <w:rPr>
      <w:rFonts w:eastAsiaTheme="majorEastAsia" w:cstheme="majorBidi"/>
      <w:color w:val="595959" w:themeColor="text1" w:themeTint="A6"/>
      <w:sz w:val="36"/>
      <w:szCs w:val="22"/>
    </w:rPr>
  </w:style>
  <w:style w:type="character" w:customStyle="1" w:styleId="80">
    <w:name w:val="標題 8 字元"/>
    <w:basedOn w:val="a0"/>
    <w:link w:val="8"/>
    <w:uiPriority w:val="9"/>
    <w:semiHidden/>
    <w:rsid w:val="005A5EAE"/>
    <w:rPr>
      <w:rFonts w:eastAsiaTheme="majorEastAsia" w:cstheme="majorBidi"/>
      <w:color w:val="272727" w:themeColor="text1" w:themeTint="D8"/>
      <w:sz w:val="36"/>
      <w:szCs w:val="22"/>
    </w:rPr>
  </w:style>
  <w:style w:type="character" w:customStyle="1" w:styleId="90">
    <w:name w:val="標題 9 字元"/>
    <w:basedOn w:val="a0"/>
    <w:link w:val="9"/>
    <w:uiPriority w:val="9"/>
    <w:semiHidden/>
    <w:rsid w:val="005A5EAE"/>
    <w:rPr>
      <w:rFonts w:eastAsiaTheme="majorEastAsia" w:cstheme="majorBidi"/>
      <w:color w:val="272727" w:themeColor="text1" w:themeTint="D8"/>
      <w:sz w:val="36"/>
      <w:szCs w:val="22"/>
    </w:rPr>
  </w:style>
  <w:style w:type="paragraph" w:styleId="a5">
    <w:name w:val="Title"/>
    <w:basedOn w:val="a"/>
    <w:next w:val="a"/>
    <w:link w:val="a6"/>
    <w:uiPriority w:val="10"/>
    <w:qFormat/>
    <w:rsid w:val="005A5E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標題 字元"/>
    <w:basedOn w:val="a0"/>
    <w:link w:val="a5"/>
    <w:uiPriority w:val="10"/>
    <w:rsid w:val="005A5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A5E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標題 字元"/>
    <w:basedOn w:val="a0"/>
    <w:link w:val="a7"/>
    <w:uiPriority w:val="11"/>
    <w:rsid w:val="005A5E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5A5E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文 字元"/>
    <w:basedOn w:val="a0"/>
    <w:link w:val="a9"/>
    <w:uiPriority w:val="29"/>
    <w:rsid w:val="005A5EAE"/>
    <w:rPr>
      <w:rFonts w:ascii="Times New Roman" w:eastAsia="Times New Roman" w:hAnsi="Times New Roman" w:cs="Times New Roman"/>
      <w:i/>
      <w:iCs/>
      <w:color w:val="404040" w:themeColor="text1" w:themeTint="BF"/>
      <w:sz w:val="36"/>
      <w:szCs w:val="22"/>
    </w:rPr>
  </w:style>
  <w:style w:type="character" w:styleId="ab">
    <w:name w:val="Intense Emphasis"/>
    <w:basedOn w:val="a0"/>
    <w:uiPriority w:val="21"/>
    <w:qFormat/>
    <w:rsid w:val="005A5EAE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A5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5A5EAE"/>
    <w:rPr>
      <w:rFonts w:ascii="Times New Roman" w:eastAsia="Times New Roman" w:hAnsi="Times New Roman" w:cs="Times New Roman"/>
      <w:i/>
      <w:iCs/>
      <w:color w:val="0F4761" w:themeColor="accent1" w:themeShade="BF"/>
      <w:sz w:val="36"/>
      <w:szCs w:val="22"/>
    </w:rPr>
  </w:style>
  <w:style w:type="character" w:styleId="ae">
    <w:name w:val="Intense Reference"/>
    <w:basedOn w:val="a0"/>
    <w:uiPriority w:val="32"/>
    <w:qFormat/>
    <w:rsid w:val="005A5EAE"/>
    <w:rPr>
      <w:b/>
      <w:bCs/>
      <w:smallCaps/>
      <w:color w:val="0F4761" w:themeColor="accent1" w:themeShade="BF"/>
      <w:spacing w:val="5"/>
    </w:rPr>
  </w:style>
  <w:style w:type="numbering" w:customStyle="1" w:styleId="1">
    <w:name w:val="目前的清單1"/>
    <w:uiPriority w:val="99"/>
    <w:rsid w:val="002403AF"/>
    <w:pPr>
      <w:numPr>
        <w:numId w:val="3"/>
      </w:numPr>
    </w:pPr>
  </w:style>
  <w:style w:type="numbering" w:customStyle="1" w:styleId="2">
    <w:name w:val="目前的清單2"/>
    <w:uiPriority w:val="99"/>
    <w:rsid w:val="00D15BFB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F9C85A-79F9-DC44-B902-275605A8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Hsieh Christine</dc:creator>
  <cp:keywords/>
  <dc:description/>
  <cp:lastModifiedBy>Hsieh Christine</cp:lastModifiedBy>
  <cp:revision>8</cp:revision>
  <dcterms:created xsi:type="dcterms:W3CDTF">2024-11-25T17:14:00Z</dcterms:created>
  <dcterms:modified xsi:type="dcterms:W3CDTF">2025-09-26T04:22:00Z</dcterms:modified>
</cp:coreProperties>
</file>