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D84" w:rsidRPr="009D20D6" w:rsidRDefault="00DD2D84" w:rsidP="00DD2D84">
      <w:pPr>
        <w:spacing w:line="480" w:lineRule="auto"/>
        <w:jc w:val="both"/>
        <w:rPr>
          <w:rFonts w:cs="Times New Roman"/>
          <w:b/>
          <w:bCs/>
          <w:color w:val="000000" w:themeColor="text1"/>
        </w:rPr>
      </w:pPr>
      <w:r w:rsidRPr="009D20D6">
        <w:rPr>
          <w:rFonts w:cs="Times New Roman"/>
          <w:b/>
          <w:bCs/>
          <w:color w:val="000000" w:themeColor="text1"/>
        </w:rPr>
        <w:t>List of supporting information:</w:t>
      </w:r>
    </w:p>
    <w:p w:rsidR="00DD2D84" w:rsidRPr="009D20D6" w:rsidRDefault="00DD2D84" w:rsidP="00DD2D84">
      <w:pPr>
        <w:spacing w:line="480" w:lineRule="auto"/>
        <w:jc w:val="both"/>
        <w:rPr>
          <w:rFonts w:cs="Times New Roman"/>
          <w:color w:val="000000" w:themeColor="text1"/>
        </w:rPr>
      </w:pPr>
      <w:r w:rsidRPr="009D20D6">
        <w:rPr>
          <w:rFonts w:cs="Times New Roman"/>
          <w:b/>
          <w:color w:val="000000" w:themeColor="text1"/>
          <w:szCs w:val="24"/>
        </w:rPr>
        <w:t>Fig.S</w:t>
      </w:r>
      <w:r w:rsidRPr="009D20D6">
        <w:rPr>
          <w:rFonts w:cs="Times New Roman"/>
          <w:b/>
          <w:noProof/>
          <w:color w:val="000000" w:themeColor="text1"/>
          <w:szCs w:val="24"/>
        </w:rPr>
        <w:t>1</w:t>
      </w:r>
      <w:r w:rsidRPr="009D20D6">
        <w:rPr>
          <w:rFonts w:cs="Times New Roman"/>
          <w:color w:val="000000" w:themeColor="text1"/>
          <w:szCs w:val="24"/>
        </w:rPr>
        <w:t xml:space="preserve"> </w:t>
      </w:r>
      <w:r w:rsidRPr="009D20D6">
        <w:rPr>
          <w:rFonts w:cs="Times New Roman"/>
          <w:b/>
          <w:color w:val="000000" w:themeColor="text1"/>
        </w:rPr>
        <w:t xml:space="preserve">TRPV2 or TRPV1 silencing. </w:t>
      </w:r>
      <w:r w:rsidRPr="009D20D6">
        <w:rPr>
          <w:rFonts w:cs="Times New Roman"/>
          <w:color w:val="000000" w:themeColor="text1"/>
        </w:rPr>
        <w:t xml:space="preserve">The efficiency of TRPV2 (A) or TRPV1 (C) silencing was evaluated by qRT-PCR. mRNA levels were normalized for GAPDH expression. Data, the mean ± SD of three separate experiments, are expressed as fold changes respect to siGLO. *p &lt; 0.01 vs siGLO. TRPV2 (B) or TRPV1 (D) downregulation assessed by western blot. Immunoblots are representative of separate experiments. GAPDH was used as loading control. Data of the densitometric analysis are the mean ± SD of three different experiments and are expressed as fold by using siGLO as control. *p &lt; 0.01 vs siGLO cells. </w:t>
      </w:r>
    </w:p>
    <w:p w:rsidR="00DD2D84" w:rsidRPr="009D20D6" w:rsidRDefault="00DD2D84" w:rsidP="00DD2D84">
      <w:pPr>
        <w:spacing w:line="480" w:lineRule="auto"/>
        <w:jc w:val="both"/>
        <w:rPr>
          <w:rFonts w:cs="Times New Roman"/>
          <w:color w:val="000000" w:themeColor="text1"/>
          <w:vertAlign w:val="subscript"/>
        </w:rPr>
      </w:pPr>
      <w:r w:rsidRPr="009D20D6">
        <w:rPr>
          <w:rFonts w:cs="Times New Roman"/>
          <w:b/>
          <w:color w:val="000000" w:themeColor="text1"/>
          <w:szCs w:val="24"/>
        </w:rPr>
        <w:t>Fig.S</w:t>
      </w:r>
      <w:r w:rsidRPr="009D20D6">
        <w:rPr>
          <w:rFonts w:cs="Times New Roman"/>
          <w:b/>
          <w:noProof/>
          <w:color w:val="000000" w:themeColor="text1"/>
          <w:szCs w:val="24"/>
        </w:rPr>
        <w:t>2</w:t>
      </w:r>
      <w:r w:rsidRPr="009D20D6">
        <w:rPr>
          <w:rFonts w:cs="Times New Roman"/>
          <w:color w:val="000000" w:themeColor="text1"/>
          <w:szCs w:val="24"/>
        </w:rPr>
        <w:t xml:space="preserve"> </w:t>
      </w:r>
      <w:r w:rsidRPr="009D20D6">
        <w:rPr>
          <w:rFonts w:cs="Times New Roman"/>
          <w:b/>
          <w:color w:val="000000" w:themeColor="text1"/>
        </w:rPr>
        <w:t>Effect of CBD treatment in PBMCs or red blood cells from blood of healthy donors</w:t>
      </w:r>
      <w:r w:rsidRPr="009D20D6">
        <w:rPr>
          <w:rFonts w:cs="Times New Roman"/>
          <w:color w:val="000000" w:themeColor="text1"/>
        </w:rPr>
        <w:t>. A) Biparametric analysis of Annexin V vs PI staining in PBMCs treated with CBD 25 µM or vehicle for 24h. Treatment with H</w:t>
      </w:r>
      <w:r w:rsidRPr="009D20D6">
        <w:rPr>
          <w:rFonts w:cs="Times New Roman"/>
          <w:color w:val="000000" w:themeColor="text1"/>
          <w:vertAlign w:val="subscript"/>
        </w:rPr>
        <w:t>2</w:t>
      </w:r>
      <w:r w:rsidRPr="009D20D6">
        <w:rPr>
          <w:rFonts w:cs="Times New Roman"/>
          <w:color w:val="000000" w:themeColor="text1"/>
        </w:rPr>
        <w:t>O</w:t>
      </w:r>
      <w:r w:rsidRPr="009D20D6">
        <w:rPr>
          <w:rFonts w:cs="Times New Roman"/>
          <w:color w:val="000000" w:themeColor="text1"/>
          <w:vertAlign w:val="subscript"/>
        </w:rPr>
        <w:t>2</w:t>
      </w:r>
      <w:r w:rsidRPr="009D20D6">
        <w:rPr>
          <w:rFonts w:cs="Times New Roman"/>
          <w:color w:val="000000" w:themeColor="text1"/>
        </w:rPr>
        <w:t xml:space="preserve"> was used as positive control. Numbers in quadrants represent the percentage of: lower right single PI positive, upper right double positive; lower left double negative, upper left single Annexin positive cells. B) Statistical analysis of the percentage of PI positive cells found in CBD- or vehicle-treated cells. Data are the mean ± SD of three different experiments. C) Cytofluorimetric analysis by using Annexin V staining of red blood cells treated for 24h with CBD 25 µM or vehicle. Treatment with H</w:t>
      </w:r>
      <w:r w:rsidRPr="009D20D6">
        <w:rPr>
          <w:rFonts w:cs="Times New Roman"/>
          <w:color w:val="000000" w:themeColor="text1"/>
          <w:vertAlign w:val="subscript"/>
        </w:rPr>
        <w:t>2</w:t>
      </w:r>
      <w:r w:rsidRPr="009D20D6">
        <w:rPr>
          <w:rFonts w:cs="Times New Roman"/>
          <w:color w:val="000000" w:themeColor="text1"/>
        </w:rPr>
        <w:t>O</w:t>
      </w:r>
      <w:r w:rsidRPr="009D20D6">
        <w:rPr>
          <w:rFonts w:cs="Times New Roman"/>
          <w:color w:val="000000" w:themeColor="text1"/>
          <w:vertAlign w:val="subscript"/>
        </w:rPr>
        <w:t>2</w:t>
      </w:r>
      <w:r w:rsidRPr="009D20D6">
        <w:rPr>
          <w:rFonts w:cs="Times New Roman"/>
          <w:color w:val="000000" w:themeColor="text1"/>
        </w:rPr>
        <w:t xml:space="preserve"> was used as positive control. D) Bars represent the statistical analysis of the MFI values shown as mean ± SD of three different experiments. E) ROS production was analyzed by using DCFDA staining and cytofluorimetric analysis in red blood cells treated with CBD 25 µM or vehicle. Treatment with H</w:t>
      </w:r>
      <w:r w:rsidRPr="009D20D6">
        <w:rPr>
          <w:rFonts w:cs="Times New Roman"/>
          <w:color w:val="000000" w:themeColor="text1"/>
          <w:vertAlign w:val="subscript"/>
        </w:rPr>
        <w:t>2</w:t>
      </w:r>
      <w:r w:rsidRPr="009D20D6">
        <w:rPr>
          <w:rFonts w:cs="Times New Roman"/>
          <w:color w:val="000000" w:themeColor="text1"/>
        </w:rPr>
        <w:t>O</w:t>
      </w:r>
      <w:r w:rsidRPr="009D20D6">
        <w:rPr>
          <w:rFonts w:cs="Times New Roman"/>
          <w:color w:val="000000" w:themeColor="text1"/>
          <w:vertAlign w:val="subscript"/>
        </w:rPr>
        <w:t>2</w:t>
      </w:r>
    </w:p>
    <w:p w:rsidR="00DD2D84" w:rsidRPr="009D20D6" w:rsidRDefault="00DD2D84" w:rsidP="00DD2D84">
      <w:pPr>
        <w:spacing w:line="480" w:lineRule="auto"/>
        <w:jc w:val="both"/>
        <w:rPr>
          <w:rFonts w:cs="Times New Roman"/>
          <w:color w:val="000000" w:themeColor="text1"/>
        </w:rPr>
      </w:pPr>
      <w:r w:rsidRPr="009D20D6">
        <w:rPr>
          <w:rFonts w:cs="Times New Roman"/>
          <w:color w:val="000000" w:themeColor="text1"/>
        </w:rPr>
        <w:t xml:space="preserve"> was used as positive control. F) Bars represent the statistical analysis of the MFI values shown as mean ± SD of three different experiments. G) [Ca</w:t>
      </w:r>
      <w:r w:rsidRPr="009D20D6">
        <w:rPr>
          <w:rFonts w:cs="Times New Roman"/>
          <w:color w:val="000000" w:themeColor="text1"/>
          <w:vertAlign w:val="superscript"/>
        </w:rPr>
        <w:t>2+</w:t>
      </w:r>
      <w:r w:rsidRPr="009D20D6">
        <w:rPr>
          <w:rFonts w:cs="Times New Roman"/>
          <w:color w:val="000000" w:themeColor="text1"/>
        </w:rPr>
        <w:t>]</w:t>
      </w:r>
      <w:r w:rsidRPr="009D20D6">
        <w:rPr>
          <w:rFonts w:cs="Times New Roman"/>
          <w:color w:val="000000" w:themeColor="text1"/>
          <w:vertAlign w:val="subscript"/>
        </w:rPr>
        <w:t xml:space="preserve">i  </w:t>
      </w:r>
      <w:r w:rsidRPr="009D20D6">
        <w:rPr>
          <w:rFonts w:cs="Times New Roman"/>
          <w:color w:val="000000" w:themeColor="text1"/>
        </w:rPr>
        <w:t>mobilization assay was performed by Fluo-3 staining  in CML</w:t>
      </w:r>
      <w:r w:rsidRPr="009D20D6">
        <w:rPr>
          <w:rFonts w:cs="Times New Roman"/>
          <w:color w:val="000000" w:themeColor="text1"/>
          <w:vertAlign w:val="subscript"/>
        </w:rPr>
        <w:t xml:space="preserve"> </w:t>
      </w:r>
      <w:r w:rsidRPr="009D20D6">
        <w:rPr>
          <w:rFonts w:cs="Times New Roman"/>
          <w:color w:val="000000" w:themeColor="text1"/>
        </w:rPr>
        <w:t>cells treated with CBD or  pretreated with tranilast and then stimulated with CBD for 1 min. Bars represent the statistical analysis of the MFI values shown as mean ± SD of three different experiments. *p&lt;0.05 vs vehicle-treated cells; **p&lt;0.05 vs CBD-treated cells. H) ROS production was assessed by DCFDA staining and FACS analysis in CML cells treated with vehicle or with CBD (IC</w:t>
      </w:r>
      <w:r w:rsidRPr="009D20D6">
        <w:rPr>
          <w:rFonts w:cs="Times New Roman"/>
          <w:color w:val="000000" w:themeColor="text1"/>
          <w:vertAlign w:val="subscript"/>
        </w:rPr>
        <w:t>50</w:t>
      </w:r>
      <w:r w:rsidRPr="009D20D6">
        <w:rPr>
          <w:rFonts w:cs="Times New Roman"/>
          <w:color w:val="000000" w:themeColor="text1"/>
        </w:rPr>
        <w:t xml:space="preserve">) for 1 and 4h. I) Bars represent the statistical analysis of the MFI values shown as mean ± SD of three different experiments. *p&lt;0.05 vs vehicle-treated cells. </w:t>
      </w:r>
    </w:p>
    <w:p w:rsidR="00DD2D84" w:rsidRPr="009D20D6" w:rsidRDefault="00DD2D84" w:rsidP="00DD2D84">
      <w:pPr>
        <w:spacing w:line="480" w:lineRule="auto"/>
        <w:jc w:val="both"/>
        <w:rPr>
          <w:rFonts w:cs="Times New Roman"/>
          <w:color w:val="000000" w:themeColor="text1"/>
        </w:rPr>
      </w:pPr>
      <w:r w:rsidRPr="009D20D6">
        <w:rPr>
          <w:rFonts w:cs="Times New Roman"/>
          <w:b/>
          <w:color w:val="000000" w:themeColor="text1"/>
          <w:szCs w:val="24"/>
        </w:rPr>
        <w:lastRenderedPageBreak/>
        <w:t>Fig.S3</w:t>
      </w:r>
      <w:r w:rsidRPr="009D20D6">
        <w:rPr>
          <w:rFonts w:cs="Times New Roman"/>
          <w:color w:val="000000" w:themeColor="text1"/>
          <w:szCs w:val="24"/>
        </w:rPr>
        <w:t xml:space="preserve"> </w:t>
      </w:r>
      <w:r w:rsidRPr="009D20D6">
        <w:rPr>
          <w:rFonts w:cs="Times New Roman"/>
          <w:b/>
          <w:color w:val="000000" w:themeColor="text1"/>
        </w:rPr>
        <w:t>CBD treatment inhibits cell proliferation</w:t>
      </w:r>
      <w:r w:rsidRPr="009D20D6">
        <w:rPr>
          <w:rFonts w:cs="Times New Roman"/>
          <w:color w:val="000000" w:themeColor="text1"/>
        </w:rPr>
        <w:t>. A) Statistical analysis of the MFI values found in CBD- or vehicle-treated CML cells for 24h after staining with PI. Data are the mean ± SD of three different experiments. *p&lt;0.05 vs vehicle. B) Statistical analysis of the MFI values related to BrdU incorporation found in CBD- or vehicle-treated CML cells for 24h. Data are the mean ± SD of three different experiments. *p&lt;0.05 vs vehicle.</w:t>
      </w:r>
    </w:p>
    <w:p w:rsidR="00DD2D84" w:rsidRPr="009D20D6" w:rsidRDefault="00DD2D84" w:rsidP="00DD2D84">
      <w:pPr>
        <w:spacing w:line="480" w:lineRule="auto"/>
        <w:jc w:val="both"/>
        <w:rPr>
          <w:rFonts w:cs="Times New Roman"/>
          <w:color w:val="000000" w:themeColor="text1"/>
        </w:rPr>
      </w:pPr>
      <w:r w:rsidRPr="009D20D6">
        <w:rPr>
          <w:rFonts w:cs="Times New Roman"/>
          <w:b/>
          <w:color w:val="000000" w:themeColor="text1"/>
          <w:szCs w:val="24"/>
        </w:rPr>
        <w:t>Fig.S4</w:t>
      </w:r>
      <w:r w:rsidRPr="009D20D6">
        <w:rPr>
          <w:rFonts w:cs="Times New Roman"/>
          <w:color w:val="000000" w:themeColor="text1"/>
          <w:szCs w:val="24"/>
        </w:rPr>
        <w:t xml:space="preserve"> </w:t>
      </w:r>
      <w:r w:rsidRPr="009D20D6">
        <w:rPr>
          <w:rFonts w:cs="Times New Roman"/>
          <w:b/>
          <w:color w:val="000000" w:themeColor="text1"/>
        </w:rPr>
        <w:t>CBD treatment impairs mitochondrial integrity</w:t>
      </w:r>
      <w:r w:rsidRPr="009D20D6">
        <w:rPr>
          <w:rFonts w:cs="Times New Roman"/>
          <w:color w:val="000000" w:themeColor="text1"/>
        </w:rPr>
        <w:t>. A) Statistical analysis of the % of depolarized cells found in CBD- or vehicle-treated CML cells after JC-1 staining. Data are the mean ± SD of three different experiments. *p&lt;0.05 vs vehicle. B) JC-1 staining and cytofluorimetric analysis in PBMCs treated with CBD at 25 µM or with vehicle for 24h. Data are representative of three separate experiments. C) Statistical analysis of the percentage of cells with reduced Mitobright flu</w:t>
      </w:r>
      <w:bookmarkStart w:id="0" w:name="_GoBack"/>
      <w:bookmarkEnd w:id="0"/>
      <w:r w:rsidRPr="009D20D6">
        <w:rPr>
          <w:rFonts w:cs="Times New Roman"/>
          <w:color w:val="000000" w:themeColor="text1"/>
        </w:rPr>
        <w:t xml:space="preserve">orescence found in CBD- or vehicle-treated CML cells for 24h after Mitobright staining. Data are the mean ± SD of three different experiments. *p&lt;0.05 vs vehicle. D) Statistical analysis of the MFI values found in CBD- or vehicle-treated CML cells for 24h after COX IV staining. Data are the mean ± SD of three different experiments. *p&lt;0.05 vs vehicle. E) Statistical analysis of the MFI values found in CBD- or vehicle-treated CML cells for 24h after Mtphagy dye staining. Data are the mean ± SD of three different experiments. *p&lt;0.05 vs vehicle. F) </w:t>
      </w:r>
      <w:r w:rsidRPr="009D20D6">
        <w:rPr>
          <w:rFonts w:cs="Times New Roman"/>
          <w:bCs/>
          <w:color w:val="000000" w:themeColor="text1"/>
          <w:lang w:bidi="en-US"/>
        </w:rPr>
        <w:t>Western blot analysis of LC-3 II in CML cells pretreated with BAF for 1h before the addition of CBD at IC</w:t>
      </w:r>
      <w:r w:rsidRPr="009D20D6">
        <w:rPr>
          <w:rFonts w:cs="Times New Roman"/>
          <w:bCs/>
          <w:color w:val="000000" w:themeColor="text1"/>
          <w:vertAlign w:val="subscript"/>
          <w:lang w:bidi="en-US"/>
        </w:rPr>
        <w:t>50</w:t>
      </w:r>
      <w:r w:rsidRPr="009D20D6">
        <w:rPr>
          <w:rFonts w:cs="Times New Roman"/>
          <w:bCs/>
          <w:color w:val="000000" w:themeColor="text1"/>
          <w:lang w:bidi="en-US"/>
        </w:rPr>
        <w:t xml:space="preserve"> dose for 12h. GAPDH was used as loading control.</w:t>
      </w:r>
    </w:p>
    <w:p w:rsidR="008E3FF9" w:rsidRDefault="008E3FF9"/>
    <w:sectPr w:rsidR="008E3FF9" w:rsidSect="00484EF3">
      <w:headerReference w:type="even" r:id="rId4"/>
      <w:headerReference w:type="default" r:id="rId5"/>
      <w:footerReference w:type="even" r:id="rId6"/>
      <w:headerReference w:type="first" r:id="rId7"/>
      <w:pgSz w:w="12240" w:h="15840"/>
      <w:pgMar w:top="1417" w:right="1134" w:bottom="1134" w:left="1134" w:header="283" w:footer="51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54BD" w:rsidRPr="00577C4C" w:rsidRDefault="00DD2D84">
    <w:pPr>
      <w:pStyle w:val="Footer"/>
      <w:rPr>
        <w:color w:val="C00000"/>
        <w:szCs w:val="24"/>
      </w:rPr>
    </w:pPr>
    <w:r>
      <w:rPr>
        <w:noProof/>
        <w:color w:val="C00000"/>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-108585</wp:posOffset>
              </wp:positionH>
              <wp:positionV relativeFrom="paragraph">
                <wp:posOffset>-58420</wp:posOffset>
              </wp:positionV>
              <wp:extent cx="3672205" cy="504190"/>
              <wp:effectExtent l="0"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2205" cy="504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54BD" w:rsidRPr="00E9561B" w:rsidRDefault="00DD2D84">
                          <w:pPr>
                            <w:rPr>
                              <w:color w:val="C00000"/>
                            </w:rPr>
                          </w:pPr>
                          <w:r w:rsidRPr="00E9561B">
                            <w:rPr>
                              <w:color w:val="C00000"/>
                            </w:rPr>
                            <w:t xml:space="preserve">This is a provisional file, not the final typeset </w:t>
                          </w:r>
                          <w:r w:rsidRPr="00E9561B">
                            <w:rPr>
                              <w:color w:val="C00000"/>
                            </w:rPr>
                            <w:t>article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55pt;margin-top:-4.6pt;width:289.15pt;height:39.7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jPXggIAAA8FAAAOAAAAZHJzL2Uyb0RvYy54bWysVNuO2yAQfa/Uf0C8Z32pc7EVZ7XJ1lWl&#10;7UXa7QcQg2NUDBRI7G3Vf++Ak2y6baWqqh8wMMNhZs4ZltdDJ9CBGcuVLHFyFWPEZK0ol7sSf3qo&#10;JguMrCOSEqEkK/Ejs/h69fLFstcFS1WrBGUGAYi0Ra9L3Dqniyiydcs6Yq+UZhKMjTIdcbA0u4ga&#10;0gN6J6I0jmdRrwzVRtXMWti9HY14FfCbhtXuQ9NY5pAoMcTmwmjCuPVjtFqSYmeIbnl9DIP8QxQd&#10;4RIuPUPdEkfQ3vBfoDpeG2VV465q1UWqaXjNQg6QTRI/y+a+JZqFXKA4Vp/LZP8fbP3+8NEgTkuc&#10;YiRJBxQ9sMGhtRpQ6qvTa1uA070GNzfANrAcMrX6TtWfLZJq0xK5YzfGqL5lhEJ0iT8ZXRwdcawH&#10;2fbvFIVryN6pADQ0pvOlg2IgQAeWHs/M+FBq2Hw1m6dpPMWoBts0zpI8UBeR4nRaG+veMNUhPymx&#10;AeYDOjncWeejIcXJxV9mleC04kKEhdltN8KgAwGVVOELCTxzE9I7S+WPjYjjDgQJd3ibDzew/i1P&#10;0ixep/mkmi3mk6zKppN8Hi8mcZKv81mc5dlt9d0HmGRFyyll8o5LdlJgkv0dw8deGLUTNIj6EufT&#10;dDpS9Mck4/D9LsmOO2hIwbsSL85OpPDEvpYU0iaFI1yM8+jn8EOVoQanf6hKkIFnftSAG7YDoHht&#10;bBV9BEEYBXwB6/CKwKRV5itGPXRkie2XPTEMI/FWgqjyJMt8C4dFNp2nsDCXlu2lhcgaoErsMBqn&#10;Gze2/V4bvmvhppOMb0CIFQ8aeYrqKF/oupDM8YXwbX25Dl5P79jqBwAAAP//AwBQSwMEFAAGAAgA&#10;AAAhADQMELDdAAAACQEAAA8AAABkcnMvZG93bnJldi54bWxMj01Lw0AQhu+C/2EZwVu7SaCtptmU&#10;YvHiQbAKetxmJ9nQ/WJ3m8Z/73jS2zvMwzvPNLvZGjZhTKN3AsplAQxd59XoBgEf78+LB2ApS6ek&#10;8Q4FfGOCXXt708ha+at7w+mYB0YlLtVSgM451JynTqOVaekDOtr1PlqZaYwDV1FeqdwaXhXFmls5&#10;OrqgZcAnjd35eLECPq0e1SG+fvXKTIeXfr8KcwxC3N/N+y2wjHP+g+FXn9ShJaeTvziVmBGwKDcl&#10;oRQeK2AErNYlhZOATVEBbxv+/4P2BwAA//8DAFBLAQItABQABgAIAAAAIQC2gziS/gAAAOEBAAAT&#10;AAAAAAAAAAAAAAAAAAAAAABbQ29udGVudF9UeXBlc10ueG1sUEsBAi0AFAAGAAgAAAAhADj9If/W&#10;AAAAlAEAAAsAAAAAAAAAAAAAAAAALwEAAF9yZWxzLy5yZWxzUEsBAi0AFAAGAAgAAAAhAOWmM9eC&#10;AgAADwUAAA4AAAAAAAAAAAAAAAAALgIAAGRycy9lMm9Eb2MueG1sUEsBAi0AFAAGAAgAAAAhADQM&#10;ELDdAAAACQEAAA8AAAAAAAAAAAAAAAAA3AQAAGRycy9kb3ducmV2LnhtbFBLBQYAAAAABAAEAPMA&#10;AADmBQAAAAA=&#10;" stroked="f">
              <v:textbox style="mso-fit-shape-to-text:t">
                <w:txbxContent>
                  <w:p w:rsidR="00EF54BD" w:rsidRPr="00E9561B" w:rsidRDefault="00DD2D84">
                    <w:pPr>
                      <w:rPr>
                        <w:color w:val="C00000"/>
                      </w:rPr>
                    </w:pPr>
                    <w:r w:rsidRPr="00E9561B">
                      <w:rPr>
                        <w:color w:val="C00000"/>
                      </w:rPr>
                      <w:t xml:space="preserve">This is a provisional file, not the final typeset </w:t>
                    </w:r>
                    <w:r w:rsidRPr="00E9561B">
                      <w:rPr>
                        <w:color w:val="C00000"/>
                      </w:rPr>
                      <w:t>article</w:t>
                    </w:r>
                  </w:p>
                </w:txbxContent>
              </v:textbox>
            </v:shape>
          </w:pict>
        </mc:Fallback>
      </mc:AlternateContent>
    </w:r>
    <w:r>
      <w:rPr>
        <w:noProof/>
        <w:lang w:val="en-IN" w:eastAsia="en-I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34645"/>
              <wp:effectExtent l="1905" t="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760" cy="334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EF54BD" w:rsidRPr="00577C4C" w:rsidRDefault="00DD2D84">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F97ADC">
                            <w:rPr>
                              <w:noProof/>
                              <w:color w:val="000000" w:themeColor="text1"/>
                              <w:sz w:val="22"/>
                              <w:szCs w:val="40"/>
                            </w:rPr>
                            <w:t>4</w:t>
                          </w:r>
                          <w:r w:rsidRPr="00577C4C">
                            <w:rPr>
                              <w:color w:val="000000" w:themeColor="text1"/>
                              <w:szCs w:val="40"/>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margin-left:67.6pt;margin-top:0;width:118.8pt;height:26.3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cRtAIAAMAFAAAOAAAAZHJzL2Uyb0RvYy54bWysVG1vmzAQ/j5p/8HydwokDgFUUrUhTJO6&#10;F6ndD3DABGtgM9sJ6ab9951NkiatJk3b+IBs3/m5e+4e3/XNvmvRjinNpchweBVgxEQpKy42Gf7y&#10;WHgxRtpQUdFWCpbhJ6bxzeLtm+uhT9lENrKtmEIAInQ69BlujOlT39dlwzqqr2TPBBhrqTpqYKs2&#10;fqXoAOhd60+CIPIHqapeyZJpDaf5aMQLh1/XrDSf6lozg9oMQ27G/ZX7r+3fX1zTdKNo3/DykAb9&#10;iyw6ygUEPUHl1FC0VfwVVMdLJbWszVUpO1/WNS+Z4wBswuAFm4eG9sxxgeLo/lQm/f9gy4+7zwrx&#10;CnqHkaAdtOiR7Q26k3sU2uoMvU7B6aEHN7OHY+tpmer+XpZfNRJy2VCxYbdKyaFhtILs3E3/7OqI&#10;oy3IevggKwhDt0Y6oH2tOgsIxUCADl16OnXGplLakLMgnkdgKsE2nZKIzGxyPk2Pt3ulzTsmO2QX&#10;GVbQeYdOd/fajK5HFxtMyIK3ret+Ky4OAHM8gdhw1dpsFq6ZP5IgWcWrmHhkEq08EuS5d1ssiRcV&#10;4XyWT/PlMg9/2rghSRteVUzYMEdhheTPGneQ+CiJk7S0bHll4WxKWm3Wy1ahHQVhF+47FOTMzb9M&#10;w9ULuLygFE5IcDdJvCKK5x4pyMxL5kHsBWFyl0QBSUheXFK654L9OyU0ZDiazoJRTL/lFrjvNTea&#10;dtzA6Gh5l+H45ERTK8GVqFxrDeXtuD4rhU3/uRTQ7mOjnWCtRke1mv16f3gZAGbFvJbVEyhYSRAY&#10;aBHGHiwaqb5jNMAIybD+tqWKYdS+F/AKkpAQO3PchszmE9ioc8v63EJFCVAZNhiNy6UZ59S2V3zT&#10;QKTju7uFl1NwJ+rnrICR3cCYcNwOI83OofO983oevItfAAAA//8DAFBLAwQUAAYACAAAACEAOT9k&#10;UdkAAAAEAQAADwAAAGRycy9kb3ducmV2LnhtbEyPwWrDMBBE74X+g9hCLqWR49KkuJZDCPgc4uQD&#10;FGtrO5FWxpJj9++77aW9LAwzzLzNt7Oz4o5D6DwpWC0TEEi1Nx01Cs6n8uUdRIiajLaeUMEXBtgW&#10;jw+5zoyf6Ij3KjaCSyhkWkEbY59JGeoWnQ5L3yOx9+kHpyPLoZFm0BOXOyvTJFlLpzvihVb3uG+x&#10;vlWjU+DT6dkeq1W5P0zXMjmMeKoCKrV4mncfICLO8S8MP/iMDgUzXfxIJgirgB+Jv5e99HWzBnFR&#10;8JZuQBa5/A9ffAMAAP//AwBQSwECLQAUAAYACAAAACEAtoM4kv4AAADhAQAAEwAAAAAAAAAAAAAA&#10;AAAAAAAAW0NvbnRlbnRfVHlwZXNdLnhtbFBLAQItABQABgAIAAAAIQA4/SH/1gAAAJQBAAALAAAA&#10;AAAAAAAAAAAAAC8BAABfcmVscy8ucmVsc1BLAQItABQABgAIAAAAIQBIc1cRtAIAAMAFAAAOAAAA&#10;AAAAAAAAAAAAAC4CAABkcnMvZTJvRG9jLnhtbFBLAQItABQABgAIAAAAIQA5P2RR2QAAAAQBAAAP&#10;AAAAAAAAAAAAAAAAAA4FAABkcnMvZG93bnJldi54bWxQSwUGAAAAAAQABADzAAAAFAYAAAAA&#10;" filled="f" stroked="f" strokeweight=".5pt">
              <v:textbox style="mso-fit-shape-to-text:t">
                <w:txbxContent>
                  <w:p w:rsidR="00EF54BD" w:rsidRPr="00577C4C" w:rsidRDefault="00DD2D84">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F97ADC">
                      <w:rPr>
                        <w:noProof/>
                        <w:color w:val="000000" w:themeColor="text1"/>
                        <w:sz w:val="22"/>
                        <w:szCs w:val="40"/>
                      </w:rPr>
                      <w:t>4</w:t>
                    </w:r>
                    <w:r w:rsidRPr="00577C4C">
                      <w:rPr>
                        <w:color w:val="000000" w:themeColor="text1"/>
                        <w:szCs w:val="40"/>
                      </w:rPr>
                      <w:fldChar w:fldCharType="end"/>
                    </w:r>
                  </w:p>
                </w:txbxContent>
              </v:textbox>
              <w10:wrap anchorx="margin" anchory="margin"/>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79978550"/>
      <w:docPartObj>
        <w:docPartGallery w:val="Page Numbers (Top of Page)"/>
        <w:docPartUnique/>
      </w:docPartObj>
    </w:sdtPr>
    <w:sdtEndPr>
      <w:rPr>
        <w:rStyle w:val="PageNumber"/>
      </w:rPr>
    </w:sdtEndPr>
    <w:sdtContent>
      <w:p w:rsidR="00EF54BD" w:rsidRDefault="00DD2D84" w:rsidP="007E4CE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F54BD" w:rsidRPr="007E3148" w:rsidRDefault="00DD2D84" w:rsidP="00B12A5F">
    <w:pPr>
      <w:pStyle w:val="Header"/>
      <w:ind w:right="360"/>
    </w:pPr>
    <w:r w:rsidRPr="007E3148">
      <w:ptab w:relativeTo="margin" w:alignment="center" w:leader="none"/>
    </w:r>
    <w:r w:rsidRPr="007E3148">
      <w:ptab w:relativeTo="margin" w:alignment="right" w:leader="none"/>
    </w:r>
    <w:r>
      <w:t>TRPV2 as target in CML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97792544"/>
      <w:docPartObj>
        <w:docPartGallery w:val="Page Numbers (Top of Page)"/>
        <w:docPartUnique/>
      </w:docPartObj>
    </w:sdtPr>
    <w:sdtEndPr>
      <w:rPr>
        <w:rStyle w:val="PageNumber"/>
      </w:rPr>
    </w:sdtEndPr>
    <w:sdtContent>
      <w:p w:rsidR="00EF54BD" w:rsidRDefault="00DD2D84" w:rsidP="007E4CE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EF54BD" w:rsidRDefault="00DD2D84" w:rsidP="00B12A5F">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54BD" w:rsidRDefault="00DD2D84" w:rsidP="007E4CEC">
    <w:pPr>
      <w:pStyle w:val="Heade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D84"/>
    <w:rsid w:val="00016CB1"/>
    <w:rsid w:val="00044C8D"/>
    <w:rsid w:val="00053DFF"/>
    <w:rsid w:val="0006117F"/>
    <w:rsid w:val="0007004E"/>
    <w:rsid w:val="00092942"/>
    <w:rsid w:val="000B5AAF"/>
    <w:rsid w:val="000D646C"/>
    <w:rsid w:val="000E2F06"/>
    <w:rsid w:val="00117F9C"/>
    <w:rsid w:val="00137867"/>
    <w:rsid w:val="001415B9"/>
    <w:rsid w:val="001610FB"/>
    <w:rsid w:val="00191F01"/>
    <w:rsid w:val="001A40BC"/>
    <w:rsid w:val="001B332E"/>
    <w:rsid w:val="001C18A9"/>
    <w:rsid w:val="001C33B2"/>
    <w:rsid w:val="001D2AE6"/>
    <w:rsid w:val="00206F53"/>
    <w:rsid w:val="002207BB"/>
    <w:rsid w:val="00263E05"/>
    <w:rsid w:val="002A16FF"/>
    <w:rsid w:val="002B07AF"/>
    <w:rsid w:val="003007EF"/>
    <w:rsid w:val="00356390"/>
    <w:rsid w:val="00382645"/>
    <w:rsid w:val="004076F9"/>
    <w:rsid w:val="004240EC"/>
    <w:rsid w:val="00433E64"/>
    <w:rsid w:val="0044006B"/>
    <w:rsid w:val="00465165"/>
    <w:rsid w:val="00472C74"/>
    <w:rsid w:val="004A11EA"/>
    <w:rsid w:val="004D381D"/>
    <w:rsid w:val="004D4AC2"/>
    <w:rsid w:val="00523117"/>
    <w:rsid w:val="00542316"/>
    <w:rsid w:val="005730AF"/>
    <w:rsid w:val="005C283C"/>
    <w:rsid w:val="00603B10"/>
    <w:rsid w:val="00610278"/>
    <w:rsid w:val="00610E0A"/>
    <w:rsid w:val="006C2818"/>
    <w:rsid w:val="006D7223"/>
    <w:rsid w:val="006E130F"/>
    <w:rsid w:val="006F2A2E"/>
    <w:rsid w:val="00731657"/>
    <w:rsid w:val="00775DE8"/>
    <w:rsid w:val="007C36DB"/>
    <w:rsid w:val="007D5424"/>
    <w:rsid w:val="007D5CAE"/>
    <w:rsid w:val="00806052"/>
    <w:rsid w:val="00806B65"/>
    <w:rsid w:val="00832108"/>
    <w:rsid w:val="008451A8"/>
    <w:rsid w:val="008D08A4"/>
    <w:rsid w:val="008E3FF9"/>
    <w:rsid w:val="00935953"/>
    <w:rsid w:val="009477E7"/>
    <w:rsid w:val="00954654"/>
    <w:rsid w:val="00974574"/>
    <w:rsid w:val="00993C49"/>
    <w:rsid w:val="00A014F5"/>
    <w:rsid w:val="00A85217"/>
    <w:rsid w:val="00A87161"/>
    <w:rsid w:val="00AA3E9E"/>
    <w:rsid w:val="00AB6AC5"/>
    <w:rsid w:val="00AC292D"/>
    <w:rsid w:val="00AD5F5A"/>
    <w:rsid w:val="00AE3390"/>
    <w:rsid w:val="00B739C0"/>
    <w:rsid w:val="00B87AF1"/>
    <w:rsid w:val="00B95C74"/>
    <w:rsid w:val="00BA7236"/>
    <w:rsid w:val="00BC7EC2"/>
    <w:rsid w:val="00C03867"/>
    <w:rsid w:val="00C1497B"/>
    <w:rsid w:val="00C17FF6"/>
    <w:rsid w:val="00C20BD7"/>
    <w:rsid w:val="00C3152C"/>
    <w:rsid w:val="00C33534"/>
    <w:rsid w:val="00C36230"/>
    <w:rsid w:val="00C9551F"/>
    <w:rsid w:val="00C95A0B"/>
    <w:rsid w:val="00CA6D87"/>
    <w:rsid w:val="00CB11F6"/>
    <w:rsid w:val="00CB3E52"/>
    <w:rsid w:val="00D16969"/>
    <w:rsid w:val="00D73233"/>
    <w:rsid w:val="00DA2A49"/>
    <w:rsid w:val="00DD2D84"/>
    <w:rsid w:val="00E400BB"/>
    <w:rsid w:val="00E400FC"/>
    <w:rsid w:val="00E61699"/>
    <w:rsid w:val="00E62B16"/>
    <w:rsid w:val="00E666A2"/>
    <w:rsid w:val="00E756C8"/>
    <w:rsid w:val="00F23FD7"/>
    <w:rsid w:val="00F25C5C"/>
    <w:rsid w:val="00F473F4"/>
    <w:rsid w:val="00F632AA"/>
    <w:rsid w:val="00FF0791"/>
    <w:rsid w:val="00FF67D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ACBFA6A-2FA8-4079-92C1-AAB69C16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D84"/>
    <w:pPr>
      <w:tabs>
        <w:tab w:val="center" w:pos="4844"/>
        <w:tab w:val="right" w:pos="9689"/>
      </w:tabs>
      <w:spacing w:before="120" w:after="240" w:line="240" w:lineRule="auto"/>
    </w:pPr>
    <w:rPr>
      <w:rFonts w:ascii="Times New Roman" w:hAnsi="Times New Roman"/>
      <w:b/>
      <w:sz w:val="24"/>
      <w:lang w:val="en-US"/>
    </w:rPr>
  </w:style>
  <w:style w:type="character" w:customStyle="1" w:styleId="HeaderChar">
    <w:name w:val="Header Char"/>
    <w:basedOn w:val="DefaultParagraphFont"/>
    <w:link w:val="Header"/>
    <w:uiPriority w:val="99"/>
    <w:rsid w:val="00DD2D84"/>
    <w:rPr>
      <w:rFonts w:ascii="Times New Roman" w:hAnsi="Times New Roman"/>
      <w:b/>
      <w:sz w:val="24"/>
      <w:lang w:val="en-US"/>
    </w:rPr>
  </w:style>
  <w:style w:type="paragraph" w:styleId="Footer">
    <w:name w:val="footer"/>
    <w:basedOn w:val="Normal"/>
    <w:link w:val="FooterChar"/>
    <w:uiPriority w:val="99"/>
    <w:unhideWhenUsed/>
    <w:rsid w:val="00DD2D84"/>
    <w:pPr>
      <w:tabs>
        <w:tab w:val="center" w:pos="4844"/>
        <w:tab w:val="right" w:pos="9689"/>
      </w:tabs>
      <w:spacing w:before="120" w:after="0" w:line="240" w:lineRule="auto"/>
    </w:pPr>
    <w:rPr>
      <w:rFonts w:ascii="Times New Roman" w:hAnsi="Times New Roman"/>
      <w:sz w:val="24"/>
      <w:lang w:val="en-US"/>
    </w:rPr>
  </w:style>
  <w:style w:type="character" w:customStyle="1" w:styleId="FooterChar">
    <w:name w:val="Footer Char"/>
    <w:basedOn w:val="DefaultParagraphFont"/>
    <w:link w:val="Footer"/>
    <w:uiPriority w:val="99"/>
    <w:rsid w:val="00DD2D84"/>
    <w:rPr>
      <w:rFonts w:ascii="Times New Roman" w:hAnsi="Times New Roman"/>
      <w:sz w:val="24"/>
      <w:lang w:val="en-US"/>
    </w:rPr>
  </w:style>
  <w:style w:type="character" w:styleId="PageNumber">
    <w:name w:val="page number"/>
    <w:basedOn w:val="DefaultParagraphFont"/>
    <w:uiPriority w:val="99"/>
    <w:semiHidden/>
    <w:unhideWhenUsed/>
    <w:rsid w:val="00DD2D84"/>
  </w:style>
  <w:style w:type="character" w:styleId="LineNumber">
    <w:name w:val="line number"/>
    <w:basedOn w:val="DefaultParagraphFont"/>
    <w:uiPriority w:val="99"/>
    <w:semiHidden/>
    <w:unhideWhenUsed/>
    <w:rsid w:val="00DD2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3450</Characters>
  <Application>Microsoft Office Word</Application>
  <DocSecurity>0</DocSecurity>
  <Lines>28</Lines>
  <Paragraphs>8</Paragraphs>
  <ScaleCrop>false</ScaleCrop>
  <Company/>
  <LinksUpToDate>false</LinksUpToDate>
  <CharactersWithSpaces>4047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Ishwarya R.</dc:creator>
  <cp:keywords/>
  <dc:description/>
  <cp:lastModifiedBy>Ishwarya R.</cp:lastModifiedBy>
  <cp:revision>1</cp:revision>
  <dcterms:created xsi:type="dcterms:W3CDTF">2022-01-03T06:58:00Z</dcterms:created>
  <dcterms:modified xsi:type="dcterms:W3CDTF">2022-01-03T06:58:00Z</dcterms:modified>
</cp:coreProperties>
</file>