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9AA17" w14:textId="77777777" w:rsidR="00C47298" w:rsidRPr="001026DC" w:rsidRDefault="00C47298" w:rsidP="00C47298">
      <w:pPr>
        <w:pStyle w:val="aa"/>
        <w:numPr>
          <w:ilvl w:val="0"/>
          <w:numId w:val="1"/>
        </w:numPr>
        <w:adjustRightInd w:val="0"/>
        <w:snapToGrid w:val="0"/>
        <w:spacing w:line="480" w:lineRule="auto"/>
        <w:contextualSpacing w:val="0"/>
        <w:rPr>
          <w:rFonts w:ascii="Arial" w:hAnsi="Arial" w:cs="Arial"/>
          <w:b/>
          <w:bCs/>
          <w:sz w:val="18"/>
          <w:szCs w:val="18"/>
        </w:rPr>
      </w:pPr>
      <w:r w:rsidRPr="001026DC">
        <w:rPr>
          <w:rFonts w:ascii="Arial" w:hAnsi="Arial" w:cs="Arial"/>
          <w:b/>
          <w:bCs/>
          <w:sz w:val="18"/>
          <w:szCs w:val="18"/>
        </w:rPr>
        <w:t>Material and Method</w:t>
      </w:r>
    </w:p>
    <w:p w14:paraId="439EF0D3" w14:textId="77777777" w:rsidR="00C47298" w:rsidRPr="001026DC" w:rsidRDefault="00C47298" w:rsidP="00C47298">
      <w:pPr>
        <w:adjustRightInd w:val="0"/>
        <w:snapToGrid w:val="0"/>
        <w:spacing w:line="480" w:lineRule="auto"/>
        <w:rPr>
          <w:rFonts w:ascii="Arial" w:hAnsi="Arial" w:cs="Arial"/>
          <w:sz w:val="18"/>
          <w:szCs w:val="18"/>
        </w:rPr>
      </w:pPr>
      <w:r w:rsidRPr="001026DC">
        <w:rPr>
          <w:rFonts w:ascii="Arial" w:hAnsi="Arial" w:cs="Arial"/>
          <w:sz w:val="18"/>
          <w:szCs w:val="18"/>
        </w:rPr>
        <w:t xml:space="preserve">1.1. </w:t>
      </w:r>
      <w:r w:rsidRPr="007B76B6">
        <w:rPr>
          <w:rFonts w:ascii="Arial" w:hAnsi="Arial" w:cs="Arial"/>
          <w:sz w:val="18"/>
          <w:szCs w:val="18"/>
        </w:rPr>
        <w:t>Fecal Bacteria Quantification</w:t>
      </w:r>
      <w:r w:rsidRPr="007B76B6" w:rsidDel="007B76B6">
        <w:rPr>
          <w:rFonts w:ascii="Arial" w:hAnsi="Arial" w:cs="Arial"/>
          <w:sz w:val="18"/>
          <w:szCs w:val="18"/>
        </w:rPr>
        <w:t xml:space="preserve"> </w:t>
      </w:r>
    </w:p>
    <w:p w14:paraId="43899888" w14:textId="77777777" w:rsidR="00C47298" w:rsidRPr="001026DC" w:rsidRDefault="00C47298" w:rsidP="00C47298">
      <w:pPr>
        <w:adjustRightInd w:val="0"/>
        <w:snapToGrid w:val="0"/>
        <w:spacing w:line="480" w:lineRule="auto"/>
        <w:ind w:firstLine="420"/>
        <w:rPr>
          <w:rFonts w:ascii="Arial" w:hAnsi="Arial" w:cs="Arial"/>
          <w:sz w:val="18"/>
          <w:szCs w:val="18"/>
        </w:rPr>
      </w:pPr>
      <w:r w:rsidRPr="007B76B6">
        <w:rPr>
          <w:rFonts w:ascii="Arial" w:hAnsi="Arial" w:cs="Arial"/>
          <w:sz w:val="18"/>
          <w:szCs w:val="18"/>
        </w:rPr>
        <w:t xml:space="preserve">Commercial animal stool DNA extraction kit (EK1212, ECOTOP, Guangzhou, China) were used for fecal bacteria quantification as recommended by the manufacturers. Briefly, fecal samples were weighted, resuspended in Inhibit EX buffer and homogenized for 1 min. The suspensions were incubated at 85 </w:t>
      </w:r>
      <w:r w:rsidRPr="007B76B6">
        <w:rPr>
          <w:rFonts w:ascii="Cambria Math" w:hAnsi="Cambria Math" w:cs="Cambria Math"/>
          <w:sz w:val="18"/>
          <w:szCs w:val="18"/>
        </w:rPr>
        <w:t>℃</w:t>
      </w:r>
      <w:r w:rsidRPr="007B76B6">
        <w:rPr>
          <w:rFonts w:ascii="Arial" w:hAnsi="Arial" w:cs="Arial"/>
          <w:sz w:val="18"/>
          <w:szCs w:val="18"/>
        </w:rPr>
        <w:t xml:space="preserve"> for 2 min, vortexed for 15 s, centrifuged at 14000 g for 2 min and keep 200 </w:t>
      </w:r>
      <w:proofErr w:type="spellStart"/>
      <w:r w:rsidRPr="007B76B6">
        <w:rPr>
          <w:rFonts w:ascii="Arial" w:hAnsi="Arial" w:cs="Arial"/>
          <w:sz w:val="18"/>
          <w:szCs w:val="18"/>
        </w:rPr>
        <w:t>μ</w:t>
      </w:r>
      <w:r>
        <w:rPr>
          <w:rFonts w:ascii="Arial" w:hAnsi="Arial" w:cs="Arial"/>
          <w:sz w:val="18"/>
          <w:szCs w:val="18"/>
        </w:rPr>
        <w:t>L</w:t>
      </w:r>
      <w:proofErr w:type="spellEnd"/>
      <w:r w:rsidRPr="007B76B6">
        <w:rPr>
          <w:rFonts w:ascii="Arial" w:hAnsi="Arial" w:cs="Arial"/>
          <w:sz w:val="18"/>
          <w:szCs w:val="18"/>
        </w:rPr>
        <w:t xml:space="preserve"> supernatant. After 15 </w:t>
      </w:r>
      <w:proofErr w:type="spellStart"/>
      <w:r w:rsidRPr="007B76B6">
        <w:rPr>
          <w:rFonts w:ascii="Arial" w:hAnsi="Arial" w:cs="Arial"/>
          <w:sz w:val="18"/>
          <w:szCs w:val="18"/>
        </w:rPr>
        <w:t>μ</w:t>
      </w:r>
      <w:r>
        <w:rPr>
          <w:rFonts w:ascii="Arial" w:hAnsi="Arial" w:cs="Arial"/>
          <w:sz w:val="18"/>
          <w:szCs w:val="18"/>
        </w:rPr>
        <w:t>L</w:t>
      </w:r>
      <w:proofErr w:type="spellEnd"/>
      <w:r w:rsidRPr="007B76B6">
        <w:rPr>
          <w:rFonts w:ascii="Arial" w:hAnsi="Arial" w:cs="Arial"/>
          <w:sz w:val="18"/>
          <w:szCs w:val="18"/>
        </w:rPr>
        <w:t xml:space="preserve"> proteinase K and 200 </w:t>
      </w:r>
      <w:proofErr w:type="spellStart"/>
      <w:r w:rsidRPr="007B76B6">
        <w:rPr>
          <w:rFonts w:ascii="Arial" w:hAnsi="Arial" w:cs="Arial"/>
          <w:sz w:val="18"/>
          <w:szCs w:val="18"/>
        </w:rPr>
        <w:t>μ</w:t>
      </w:r>
      <w:r>
        <w:rPr>
          <w:rFonts w:ascii="Arial" w:hAnsi="Arial" w:cs="Arial"/>
          <w:sz w:val="18"/>
          <w:szCs w:val="18"/>
        </w:rPr>
        <w:t>L</w:t>
      </w:r>
      <w:proofErr w:type="spellEnd"/>
      <w:r w:rsidRPr="007B76B6">
        <w:rPr>
          <w:rFonts w:ascii="Arial" w:hAnsi="Arial" w:cs="Arial"/>
          <w:sz w:val="18"/>
          <w:szCs w:val="18"/>
        </w:rPr>
        <w:t xml:space="preserve"> buffer AL were added, the mixtures were incubated at 70 </w:t>
      </w:r>
      <w:r w:rsidRPr="003077C6">
        <w:rPr>
          <w:rFonts w:ascii="Arial" w:hAnsi="Arial" w:cs="Arial"/>
          <w:sz w:val="18"/>
          <w:szCs w:val="18"/>
          <w:lang w:bidi="en-US"/>
        </w:rPr>
        <w:t>°C</w:t>
      </w:r>
      <w:r w:rsidRPr="007B76B6">
        <w:rPr>
          <w:rFonts w:ascii="Arial" w:hAnsi="Arial" w:cs="Arial"/>
          <w:sz w:val="18"/>
          <w:szCs w:val="18"/>
        </w:rPr>
        <w:t xml:space="preserve"> for 10 min. Then 500 </w:t>
      </w:r>
      <w:proofErr w:type="spellStart"/>
      <w:r w:rsidRPr="007B76B6">
        <w:rPr>
          <w:rFonts w:ascii="Arial" w:hAnsi="Arial" w:cs="Arial"/>
          <w:sz w:val="18"/>
          <w:szCs w:val="18"/>
        </w:rPr>
        <w:t>μ</w:t>
      </w:r>
      <w:r>
        <w:rPr>
          <w:rFonts w:ascii="Arial" w:hAnsi="Arial" w:cs="Arial"/>
          <w:sz w:val="18"/>
          <w:szCs w:val="18"/>
        </w:rPr>
        <w:t>L</w:t>
      </w:r>
      <w:proofErr w:type="spellEnd"/>
      <w:r w:rsidRPr="007B76B6">
        <w:rPr>
          <w:rFonts w:ascii="Arial" w:hAnsi="Arial" w:cs="Arial"/>
          <w:sz w:val="18"/>
          <w:szCs w:val="18"/>
        </w:rPr>
        <w:t xml:space="preserve"> of anhydrous ethanol was added, and the mixtures were applied to spin columns. After centrifugation, the spin columns were added with 500 </w:t>
      </w:r>
      <w:proofErr w:type="spellStart"/>
      <w:r w:rsidRPr="007B76B6">
        <w:rPr>
          <w:rFonts w:ascii="Arial" w:hAnsi="Arial" w:cs="Arial"/>
          <w:sz w:val="18"/>
          <w:szCs w:val="18"/>
        </w:rPr>
        <w:t>μ</w:t>
      </w:r>
      <w:r>
        <w:rPr>
          <w:rFonts w:ascii="Arial" w:hAnsi="Arial" w:cs="Arial"/>
          <w:sz w:val="18"/>
          <w:szCs w:val="18"/>
        </w:rPr>
        <w:t>L</w:t>
      </w:r>
      <w:proofErr w:type="spellEnd"/>
      <w:r w:rsidRPr="007B76B6">
        <w:rPr>
          <w:rFonts w:ascii="Arial" w:hAnsi="Arial" w:cs="Arial"/>
          <w:sz w:val="18"/>
          <w:szCs w:val="18"/>
        </w:rPr>
        <w:t xml:space="preserve"> buffer AW1 or AW 2 and centrifuged for 1 min. Buffer ATE (5u</w:t>
      </w:r>
      <w:r>
        <w:rPr>
          <w:rFonts w:ascii="Arial" w:hAnsi="Arial" w:cs="Arial"/>
          <w:sz w:val="18"/>
          <w:szCs w:val="18"/>
        </w:rPr>
        <w:t>L</w:t>
      </w:r>
      <w:r w:rsidRPr="007B76B6">
        <w:rPr>
          <w:rFonts w:ascii="Arial" w:hAnsi="Arial" w:cs="Arial"/>
          <w:sz w:val="18"/>
          <w:szCs w:val="18"/>
        </w:rPr>
        <w:t xml:space="preserve"> per 10 mg fecal sample) was directly pipetted onto the spin columns membrane and then centrifuged for 2 min to elute DNA. The Total bacterial DNA concentration was detected by </w:t>
      </w:r>
      <w:proofErr w:type="spellStart"/>
      <w:r w:rsidRPr="007B76B6">
        <w:rPr>
          <w:rFonts w:ascii="Arial" w:hAnsi="Arial" w:cs="Arial"/>
          <w:sz w:val="18"/>
          <w:szCs w:val="18"/>
        </w:rPr>
        <w:t>qRT</w:t>
      </w:r>
      <w:proofErr w:type="spellEnd"/>
      <w:r w:rsidRPr="007B76B6">
        <w:rPr>
          <w:rFonts w:ascii="Arial" w:hAnsi="Arial" w:cs="Arial"/>
          <w:sz w:val="18"/>
          <w:szCs w:val="18"/>
        </w:rPr>
        <w:t>-PCR using forward primer (5’-GTGSTGCAYGGYYGTCGTCA-3’) and reverse primer (5’-ACGTCRTCCMCN</w:t>
      </w:r>
      <w:r>
        <w:rPr>
          <w:rFonts w:ascii="Arial" w:hAnsi="Arial" w:cs="Arial"/>
          <w:sz w:val="18"/>
          <w:szCs w:val="18"/>
        </w:rPr>
        <w:t xml:space="preserve"> </w:t>
      </w:r>
      <w:r w:rsidRPr="007B76B6">
        <w:rPr>
          <w:rFonts w:ascii="Arial" w:hAnsi="Arial" w:cs="Arial"/>
          <w:sz w:val="18"/>
          <w:szCs w:val="18"/>
        </w:rPr>
        <w:t>CCTTCCTC-3’). Subsequently, genomic DNA copies were determined via a standard curve.</w:t>
      </w:r>
    </w:p>
    <w:p w14:paraId="10AD76FF" w14:textId="77777777" w:rsidR="00C47298" w:rsidRPr="001026DC" w:rsidRDefault="00C47298" w:rsidP="00C47298">
      <w:pPr>
        <w:adjustRightInd w:val="0"/>
        <w:snapToGrid w:val="0"/>
        <w:spacing w:line="480" w:lineRule="auto"/>
        <w:ind w:firstLine="420"/>
        <w:rPr>
          <w:rFonts w:ascii="Arial" w:hAnsi="Arial" w:cs="Arial"/>
          <w:sz w:val="18"/>
          <w:szCs w:val="18"/>
        </w:rPr>
      </w:pPr>
    </w:p>
    <w:p w14:paraId="69BAC317" w14:textId="77777777" w:rsidR="00C47298" w:rsidRPr="001026DC" w:rsidRDefault="00C47298" w:rsidP="00C47298">
      <w:pPr>
        <w:adjustRightInd w:val="0"/>
        <w:snapToGrid w:val="0"/>
        <w:spacing w:line="480" w:lineRule="auto"/>
        <w:rPr>
          <w:rFonts w:ascii="Arial" w:hAnsi="Arial" w:cs="Arial"/>
          <w:sz w:val="18"/>
          <w:szCs w:val="18"/>
          <w:lang w:bidi="en-US"/>
        </w:rPr>
      </w:pPr>
      <w:r w:rsidRPr="001026DC">
        <w:rPr>
          <w:rFonts w:ascii="Arial" w:hAnsi="Arial" w:cs="Arial"/>
          <w:sz w:val="18"/>
          <w:szCs w:val="18"/>
        </w:rPr>
        <w:t>1.3.</w:t>
      </w:r>
      <w:r w:rsidRPr="001026DC">
        <w:rPr>
          <w:rFonts w:ascii="Arial" w:hAnsi="Arial" w:cs="Arial"/>
          <w:sz w:val="18"/>
          <w:szCs w:val="18"/>
          <w:lang w:bidi="en-US"/>
        </w:rPr>
        <w:t xml:space="preserve"> Immunofluorescence Staining</w:t>
      </w:r>
    </w:p>
    <w:p w14:paraId="3CDB3ADF" w14:textId="77777777" w:rsidR="00C47298" w:rsidRPr="001026DC" w:rsidRDefault="00C47298" w:rsidP="00C47298">
      <w:pPr>
        <w:adjustRightInd w:val="0"/>
        <w:snapToGrid w:val="0"/>
        <w:spacing w:line="480" w:lineRule="auto"/>
        <w:rPr>
          <w:rFonts w:ascii="Arial" w:hAnsi="Arial" w:cs="Arial"/>
          <w:sz w:val="18"/>
          <w:szCs w:val="18"/>
          <w:lang w:bidi="en-US"/>
        </w:rPr>
      </w:pPr>
      <w:r w:rsidRPr="001026DC">
        <w:rPr>
          <w:rFonts w:ascii="Arial" w:hAnsi="Arial" w:cs="Arial"/>
          <w:sz w:val="18"/>
          <w:szCs w:val="18"/>
          <w:lang w:bidi="en-US"/>
        </w:rPr>
        <w:tab/>
        <w:t xml:space="preserve">The liver paraffin sections were harvested as described above, and then deparaffinized, rehydrated, antigen retrieval, serum blocking, primary antibody incubated (CB2R, ab3559, Abcam, Cambridge, MA, USA; CK18, </w:t>
      </w:r>
      <w:proofErr w:type="spellStart"/>
      <w:r w:rsidRPr="001026DC">
        <w:rPr>
          <w:rFonts w:ascii="Arial" w:hAnsi="Arial" w:cs="Arial"/>
          <w:sz w:val="18"/>
          <w:szCs w:val="18"/>
          <w:lang w:bidi="en-US"/>
        </w:rPr>
        <w:t>Servicebio</w:t>
      </w:r>
      <w:proofErr w:type="spellEnd"/>
      <w:r w:rsidRPr="001026DC">
        <w:rPr>
          <w:rFonts w:ascii="Arial" w:hAnsi="Arial" w:cs="Arial"/>
          <w:sz w:val="18"/>
          <w:szCs w:val="18"/>
          <w:lang w:bidi="en-US"/>
        </w:rPr>
        <w:t xml:space="preserve">, Hubei, China), secondary antibody incubated and DAPI stained. All images were acquired using </w:t>
      </w:r>
      <w:proofErr w:type="spellStart"/>
      <w:r w:rsidRPr="001026DC">
        <w:rPr>
          <w:rFonts w:ascii="Arial" w:hAnsi="Arial" w:cs="Arial"/>
          <w:sz w:val="18"/>
          <w:szCs w:val="18"/>
          <w:lang w:bidi="en-US"/>
        </w:rPr>
        <w:t>Axio</w:t>
      </w:r>
      <w:proofErr w:type="spellEnd"/>
      <w:r w:rsidRPr="001026DC">
        <w:rPr>
          <w:rFonts w:ascii="Arial" w:hAnsi="Arial" w:cs="Arial"/>
          <w:sz w:val="18"/>
          <w:szCs w:val="18"/>
          <w:lang w:bidi="en-US"/>
        </w:rPr>
        <w:t xml:space="preserve"> Scope A1 (Zeiss, </w:t>
      </w:r>
      <w:proofErr w:type="spellStart"/>
      <w:r w:rsidRPr="001026DC">
        <w:rPr>
          <w:rFonts w:ascii="Arial" w:hAnsi="Arial" w:cs="Arial"/>
          <w:sz w:val="18"/>
          <w:szCs w:val="18"/>
          <w:lang w:bidi="en-US"/>
        </w:rPr>
        <w:t>Oberkochen</w:t>
      </w:r>
      <w:proofErr w:type="spellEnd"/>
      <w:r w:rsidRPr="001026DC">
        <w:rPr>
          <w:rFonts w:ascii="Arial" w:hAnsi="Arial" w:cs="Arial"/>
          <w:sz w:val="18"/>
          <w:szCs w:val="18"/>
          <w:lang w:bidi="en-US"/>
        </w:rPr>
        <w:t>, Germany).</w:t>
      </w:r>
    </w:p>
    <w:p w14:paraId="416E5DF8" w14:textId="77777777" w:rsidR="00C47298" w:rsidRPr="001026DC" w:rsidRDefault="00C47298" w:rsidP="00C47298">
      <w:pPr>
        <w:adjustRightInd w:val="0"/>
        <w:snapToGrid w:val="0"/>
        <w:spacing w:line="480" w:lineRule="auto"/>
        <w:rPr>
          <w:rFonts w:ascii="Arial" w:hAnsi="Arial" w:cs="Arial"/>
          <w:sz w:val="18"/>
          <w:szCs w:val="18"/>
        </w:rPr>
      </w:pPr>
    </w:p>
    <w:p w14:paraId="4217CE95" w14:textId="77777777" w:rsidR="00C47298" w:rsidRPr="001026DC" w:rsidRDefault="00C47298" w:rsidP="00C47298">
      <w:pPr>
        <w:adjustRightInd w:val="0"/>
        <w:snapToGrid w:val="0"/>
        <w:spacing w:line="480" w:lineRule="auto"/>
        <w:rPr>
          <w:rFonts w:ascii="Arial" w:hAnsi="Arial" w:cs="Arial"/>
          <w:sz w:val="18"/>
          <w:szCs w:val="18"/>
          <w:lang w:bidi="en-US"/>
        </w:rPr>
      </w:pPr>
      <w:r w:rsidRPr="001026DC">
        <w:rPr>
          <w:rFonts w:ascii="Arial" w:hAnsi="Arial" w:cs="Arial"/>
          <w:sz w:val="18"/>
          <w:szCs w:val="18"/>
        </w:rPr>
        <w:t xml:space="preserve">1.4. </w:t>
      </w:r>
      <w:r w:rsidRPr="001026DC">
        <w:rPr>
          <w:rFonts w:ascii="Arial" w:hAnsi="Arial" w:cs="Arial"/>
          <w:sz w:val="18"/>
          <w:szCs w:val="18"/>
          <w:lang w:bidi="en-US"/>
        </w:rPr>
        <w:t>Quantitative Real-time PCR Analysis</w:t>
      </w:r>
    </w:p>
    <w:p w14:paraId="265CFBA7" w14:textId="77777777" w:rsidR="00C47298" w:rsidRPr="001026DC" w:rsidRDefault="00C47298" w:rsidP="00C47298">
      <w:pPr>
        <w:adjustRightInd w:val="0"/>
        <w:snapToGrid w:val="0"/>
        <w:spacing w:line="480" w:lineRule="auto"/>
        <w:rPr>
          <w:rFonts w:ascii="Arial" w:hAnsi="Arial" w:cs="Arial"/>
          <w:sz w:val="18"/>
          <w:szCs w:val="18"/>
          <w:lang w:bidi="en-US"/>
        </w:rPr>
      </w:pPr>
      <w:r w:rsidRPr="001026DC">
        <w:rPr>
          <w:rFonts w:ascii="Arial" w:hAnsi="Arial" w:cs="Arial"/>
          <w:sz w:val="18"/>
          <w:szCs w:val="18"/>
          <w:lang w:bidi="en-US"/>
        </w:rPr>
        <w:tab/>
        <w:t xml:space="preserve">Total RNA was extracted using </w:t>
      </w:r>
      <w:proofErr w:type="spellStart"/>
      <w:r w:rsidRPr="001026DC">
        <w:rPr>
          <w:rFonts w:ascii="Arial" w:hAnsi="Arial" w:cs="Arial"/>
          <w:sz w:val="18"/>
          <w:szCs w:val="18"/>
          <w:lang w:bidi="en-US"/>
        </w:rPr>
        <w:t>RNAiso</w:t>
      </w:r>
      <w:proofErr w:type="spellEnd"/>
      <w:r w:rsidRPr="001026DC">
        <w:rPr>
          <w:rFonts w:ascii="Arial" w:hAnsi="Arial" w:cs="Arial"/>
          <w:sz w:val="18"/>
          <w:szCs w:val="18"/>
          <w:lang w:bidi="en-US"/>
        </w:rPr>
        <w:t xml:space="preserve"> Plus kit (Takara, Tokyo, Japan) as suggested by the manufacturer. The complementary DNA (cDNA) was synthesized using </w:t>
      </w:r>
      <w:proofErr w:type="spellStart"/>
      <w:r w:rsidRPr="001026DC">
        <w:rPr>
          <w:rFonts w:ascii="Arial" w:hAnsi="Arial" w:cs="Arial"/>
          <w:sz w:val="18"/>
          <w:szCs w:val="18"/>
          <w:lang w:bidi="en-US"/>
        </w:rPr>
        <w:t>PrimeScript</w:t>
      </w:r>
      <w:r w:rsidRPr="001026DC">
        <w:rPr>
          <w:rFonts w:ascii="Arial" w:hAnsi="Arial" w:cs="Arial"/>
          <w:sz w:val="18"/>
          <w:szCs w:val="18"/>
          <w:vertAlign w:val="superscript"/>
          <w:lang w:bidi="en-US"/>
        </w:rPr>
        <w:t>TM</w:t>
      </w:r>
      <w:r w:rsidRPr="001026DC">
        <w:rPr>
          <w:rFonts w:ascii="Arial" w:hAnsi="Arial" w:cs="Arial"/>
          <w:sz w:val="18"/>
          <w:szCs w:val="18"/>
          <w:lang w:bidi="en-US"/>
        </w:rPr>
        <w:t>RT</w:t>
      </w:r>
      <w:proofErr w:type="spellEnd"/>
      <w:r w:rsidRPr="001026DC">
        <w:rPr>
          <w:rFonts w:ascii="Arial" w:hAnsi="Arial" w:cs="Arial"/>
          <w:sz w:val="18"/>
          <w:szCs w:val="18"/>
          <w:lang w:bidi="en-US"/>
        </w:rPr>
        <w:t xml:space="preserve"> reagent kit (Takara, Tokyo, Japan), and expression levels of genes were measured by </w:t>
      </w:r>
      <w:proofErr w:type="spellStart"/>
      <w:r w:rsidRPr="001026DC">
        <w:rPr>
          <w:rFonts w:ascii="Arial" w:hAnsi="Arial" w:cs="Arial"/>
          <w:sz w:val="18"/>
          <w:szCs w:val="18"/>
          <w:lang w:bidi="en-US"/>
        </w:rPr>
        <w:t>qRT</w:t>
      </w:r>
      <w:proofErr w:type="spellEnd"/>
      <w:r w:rsidRPr="001026DC">
        <w:rPr>
          <w:rFonts w:ascii="Arial" w:hAnsi="Arial" w:cs="Arial"/>
          <w:sz w:val="18"/>
          <w:szCs w:val="18"/>
          <w:lang w:bidi="en-US"/>
        </w:rPr>
        <w:t xml:space="preserve">-PCR using </w:t>
      </w:r>
      <w:proofErr w:type="spellStart"/>
      <w:r w:rsidRPr="001026DC">
        <w:rPr>
          <w:rFonts w:ascii="Arial" w:hAnsi="Arial" w:cs="Arial"/>
          <w:sz w:val="18"/>
          <w:szCs w:val="18"/>
          <w:lang w:bidi="en-US"/>
        </w:rPr>
        <w:t>hamQ</w:t>
      </w:r>
      <w:proofErr w:type="spellEnd"/>
      <w:r w:rsidRPr="001026DC">
        <w:rPr>
          <w:rFonts w:ascii="Arial" w:hAnsi="Arial" w:cs="Arial"/>
          <w:sz w:val="18"/>
          <w:szCs w:val="18"/>
          <w:lang w:bidi="en-US"/>
        </w:rPr>
        <w:t xml:space="preserve"> Universal SYBR qPCR Master Mix (</w:t>
      </w:r>
      <w:proofErr w:type="spellStart"/>
      <w:r w:rsidRPr="001026DC">
        <w:rPr>
          <w:rFonts w:ascii="Arial" w:hAnsi="Arial" w:cs="Arial"/>
          <w:sz w:val="18"/>
          <w:szCs w:val="18"/>
          <w:lang w:bidi="en-US"/>
        </w:rPr>
        <w:t>Vazyme</w:t>
      </w:r>
      <w:proofErr w:type="spellEnd"/>
      <w:r w:rsidRPr="001026DC">
        <w:rPr>
          <w:rFonts w:ascii="Arial" w:hAnsi="Arial" w:cs="Arial"/>
          <w:sz w:val="18"/>
          <w:szCs w:val="18"/>
          <w:lang w:bidi="en-US"/>
        </w:rPr>
        <w:t>, Jiangsu, China) in CFX Maestro system (</w:t>
      </w:r>
      <w:proofErr w:type="spellStart"/>
      <w:r w:rsidRPr="001026DC">
        <w:rPr>
          <w:rFonts w:ascii="Arial" w:hAnsi="Arial" w:cs="Arial"/>
          <w:sz w:val="18"/>
          <w:szCs w:val="18"/>
          <w:lang w:bidi="en-US"/>
        </w:rPr>
        <w:t>BioRad</w:t>
      </w:r>
      <w:proofErr w:type="spellEnd"/>
      <w:r w:rsidRPr="001026DC">
        <w:rPr>
          <w:rFonts w:ascii="Arial" w:hAnsi="Arial" w:cs="Arial"/>
          <w:sz w:val="18"/>
          <w:szCs w:val="18"/>
          <w:lang w:bidi="en-US"/>
        </w:rPr>
        <w:t>, Hercules, CA, USA). GA</w:t>
      </w:r>
      <w:r>
        <w:rPr>
          <w:rFonts w:ascii="Arial" w:hAnsi="Arial" w:cs="Arial"/>
          <w:sz w:val="18"/>
          <w:szCs w:val="18"/>
          <w:lang w:bidi="en-US"/>
        </w:rPr>
        <w:t>P</w:t>
      </w:r>
      <w:r w:rsidRPr="001026DC">
        <w:rPr>
          <w:rFonts w:ascii="Arial" w:hAnsi="Arial" w:cs="Arial"/>
          <w:sz w:val="18"/>
          <w:szCs w:val="18"/>
          <w:lang w:bidi="en-US"/>
        </w:rPr>
        <w:t>DH mRNA was used as the control gene. The primer sequences were as follows: CNR2 forward, 5’-ACGGTGGCTTGGAGTTCAAC-3’; CNR2 reverse, 5’-GCCGGGAGGACAGGATAAT-3’; GAP</w:t>
      </w:r>
      <w:r>
        <w:rPr>
          <w:rFonts w:ascii="Arial" w:hAnsi="Arial" w:cs="Arial"/>
          <w:sz w:val="18"/>
          <w:szCs w:val="18"/>
          <w:lang w:bidi="en-US"/>
        </w:rPr>
        <w:t>D</w:t>
      </w:r>
      <w:r w:rsidRPr="001026DC">
        <w:rPr>
          <w:rFonts w:ascii="Arial" w:hAnsi="Arial" w:cs="Arial"/>
          <w:sz w:val="18"/>
          <w:szCs w:val="18"/>
          <w:lang w:bidi="en-US"/>
        </w:rPr>
        <w:t>H forward, 5’-AGGTCGGTGTGAACGGATTTG-3’; and GA</w:t>
      </w:r>
      <w:r>
        <w:rPr>
          <w:rFonts w:ascii="Arial" w:hAnsi="Arial" w:cs="Arial"/>
          <w:sz w:val="18"/>
          <w:szCs w:val="18"/>
          <w:lang w:bidi="en-US"/>
        </w:rPr>
        <w:t>P</w:t>
      </w:r>
      <w:r w:rsidRPr="001026DC">
        <w:rPr>
          <w:rFonts w:ascii="Arial" w:hAnsi="Arial" w:cs="Arial"/>
          <w:sz w:val="18"/>
          <w:szCs w:val="18"/>
          <w:lang w:bidi="en-US"/>
        </w:rPr>
        <w:t>DH reverse, 5’-TGTAGACCATG-TAGTTGAGGTCA-3’. Gene expression levels were calculated based on the ΔΔCT relative qualification method.</w:t>
      </w:r>
    </w:p>
    <w:p w14:paraId="582F011F" w14:textId="77777777" w:rsidR="00C47298" w:rsidRDefault="00C47298" w:rsidP="00C47298"/>
    <w:p w14:paraId="1E4AD8BB" w14:textId="77777777" w:rsidR="00C47298" w:rsidRDefault="00C47298" w:rsidP="00C47298"/>
    <w:p w14:paraId="386948F0" w14:textId="77777777" w:rsidR="00C47298" w:rsidRDefault="00C47298" w:rsidP="00C47298"/>
    <w:p w14:paraId="3A1FF235" w14:textId="77777777" w:rsidR="00C47298" w:rsidRDefault="00C47298" w:rsidP="00C47298"/>
    <w:p w14:paraId="769BBEFB" w14:textId="77777777" w:rsidR="00C47298" w:rsidRDefault="00C47298" w:rsidP="00C47298">
      <w:pPr>
        <w:sectPr w:rsidR="00C47298" w:rsidSect="00C47298">
          <w:pgSz w:w="11906" w:h="16838"/>
          <w:pgMar w:top="1440" w:right="1800" w:bottom="1440" w:left="1800" w:header="851" w:footer="992" w:gutter="0"/>
          <w:cols w:space="425"/>
          <w:docGrid w:type="lines" w:linePitch="312"/>
        </w:sectPr>
      </w:pPr>
    </w:p>
    <w:p w14:paraId="4FFA9A52" w14:textId="77777777" w:rsidR="00C47298" w:rsidRPr="00DE4CA3" w:rsidRDefault="00C47298" w:rsidP="00DE4CA3">
      <w:pPr>
        <w:adjustRightInd w:val="0"/>
        <w:snapToGrid w:val="0"/>
        <w:spacing w:line="480" w:lineRule="auto"/>
        <w:rPr>
          <w:rFonts w:ascii="Arial" w:hAnsi="Arial" w:cs="Arial"/>
          <w:b/>
          <w:bCs/>
          <w:sz w:val="16"/>
          <w:szCs w:val="16"/>
        </w:rPr>
      </w:pPr>
      <w:r w:rsidRPr="00DE4CA3">
        <w:rPr>
          <w:rFonts w:ascii="Arial" w:hAnsi="Arial" w:cs="Arial"/>
          <w:b/>
          <w:bCs/>
          <w:sz w:val="16"/>
          <w:szCs w:val="16"/>
        </w:rPr>
        <w:lastRenderedPageBreak/>
        <w:t>Figures legends</w:t>
      </w:r>
    </w:p>
    <w:p w14:paraId="5BFF0E6F"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Supplementary Figure s1. The phenotype of WT mice with NCD, WT NAFLD model mice and CB2R</w:t>
      </w:r>
      <w:r w:rsidRPr="00DE4CA3">
        <w:rPr>
          <w:rFonts w:ascii="Arial" w:hAnsi="Arial" w:cs="Arial"/>
          <w:b/>
          <w:bCs/>
          <w:sz w:val="16"/>
          <w:szCs w:val="16"/>
          <w:vertAlign w:val="superscript"/>
        </w:rPr>
        <w:t>-/-</w:t>
      </w:r>
      <w:r w:rsidRPr="00DE4CA3">
        <w:rPr>
          <w:rFonts w:ascii="Arial" w:hAnsi="Arial" w:cs="Arial"/>
          <w:b/>
          <w:bCs/>
          <w:sz w:val="16"/>
          <w:szCs w:val="16"/>
        </w:rPr>
        <w:t xml:space="preserve"> mice with NCD.</w:t>
      </w:r>
      <w:r w:rsidRPr="00DE4CA3">
        <w:rPr>
          <w:rFonts w:ascii="Arial" w:hAnsi="Arial" w:cs="Arial"/>
          <w:sz w:val="16"/>
          <w:szCs w:val="16"/>
        </w:rPr>
        <w:t xml:space="preserve"> </w:t>
      </w:r>
      <w:proofErr w:type="spellStart"/>
      <w:r w:rsidRPr="00DE4CA3">
        <w:rPr>
          <w:rFonts w:ascii="Arial" w:hAnsi="Arial" w:cs="Arial"/>
          <w:b/>
          <w:bCs/>
          <w:sz w:val="16"/>
          <w:szCs w:val="16"/>
        </w:rPr>
        <w:t>a</w:t>
      </w:r>
      <w:proofErr w:type="spellEnd"/>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body weight of WT mice with NCD, WT NAFLD model mice or CB2R</w:t>
      </w:r>
      <w:r w:rsidRPr="00DE4CA3">
        <w:rPr>
          <w:rFonts w:ascii="Arial" w:hAnsi="Arial" w:cs="Arial"/>
          <w:sz w:val="16"/>
          <w:szCs w:val="16"/>
          <w:vertAlign w:val="superscript"/>
        </w:rPr>
        <w:t>-/-</w:t>
      </w:r>
      <w:r w:rsidRPr="00DE4CA3">
        <w:rPr>
          <w:rFonts w:ascii="Arial" w:hAnsi="Arial" w:cs="Arial"/>
          <w:sz w:val="16"/>
          <w:szCs w:val="16"/>
        </w:rPr>
        <w:t xml:space="preserve"> mice with NCD throughout the experimental period were recorded. </w:t>
      </w:r>
      <w:r w:rsidRPr="00DE4CA3">
        <w:rPr>
          <w:rFonts w:ascii="Arial" w:hAnsi="Arial" w:cs="Arial"/>
          <w:b/>
          <w:bCs/>
          <w:sz w:val="16"/>
          <w:szCs w:val="16"/>
        </w:rPr>
        <w:t>b</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food intake and water intake. </w:t>
      </w:r>
      <w:r w:rsidRPr="00DE4CA3">
        <w:rPr>
          <w:rFonts w:ascii="Arial" w:hAnsi="Arial" w:cs="Arial"/>
          <w:b/>
          <w:bCs/>
          <w:sz w:val="16"/>
          <w:szCs w:val="16"/>
        </w:rPr>
        <w:t>c</w:t>
      </w:r>
      <w:r w:rsidRPr="00DE4CA3">
        <w:rPr>
          <w:rFonts w:ascii="Arial" w:hAnsi="Arial" w:cs="Arial"/>
          <w:sz w:val="16"/>
          <w:szCs w:val="16"/>
        </w:rPr>
        <w:t xml:space="preserve"> The Representative images (200×) of H&amp;E or Oil red O staining, and the morphometric analysis of Oil red O staining for quantification. </w:t>
      </w:r>
      <w:r w:rsidRPr="00DE4CA3">
        <w:rPr>
          <w:rFonts w:ascii="Arial" w:hAnsi="Arial" w:cs="Arial"/>
          <w:b/>
          <w:bCs/>
          <w:sz w:val="16"/>
          <w:szCs w:val="16"/>
        </w:rPr>
        <w:t>d</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comparison of liver homogenate levels of TG. </w:t>
      </w:r>
      <w:r w:rsidRPr="00DE4CA3">
        <w:rPr>
          <w:rFonts w:ascii="Arial" w:hAnsi="Arial" w:cs="Arial"/>
          <w:b/>
          <w:bCs/>
          <w:sz w:val="16"/>
          <w:szCs w:val="16"/>
        </w:rPr>
        <w:t>e</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comparison of serum levels of transaminases (ALT, AST) and lipid parameters (TG, TC), and blood glucose between WT mice with NCD, WT NAFLD model mice or CB2R</w:t>
      </w:r>
      <w:r w:rsidRPr="00DE4CA3">
        <w:rPr>
          <w:rFonts w:ascii="Arial" w:hAnsi="Arial" w:cs="Arial"/>
          <w:sz w:val="16"/>
          <w:szCs w:val="16"/>
          <w:vertAlign w:val="superscript"/>
        </w:rPr>
        <w:t>-/-</w:t>
      </w:r>
      <w:r w:rsidRPr="00DE4CA3">
        <w:rPr>
          <w:rFonts w:ascii="Arial" w:hAnsi="Arial" w:cs="Arial"/>
          <w:sz w:val="16"/>
          <w:szCs w:val="16"/>
        </w:rPr>
        <w:t xml:space="preserve"> mice with NCD. Note: Data were given as mean ± SEM. </w:t>
      </w:r>
      <w:r w:rsidRPr="00DE4CA3">
        <w:rPr>
          <w:rFonts w:ascii="Arial" w:hAnsi="Arial" w:cs="Arial"/>
          <w:i/>
          <w:iCs/>
          <w:sz w:val="16"/>
          <w:szCs w:val="16"/>
        </w:rPr>
        <w:t>n</w:t>
      </w:r>
      <w:r w:rsidRPr="00DE4CA3">
        <w:rPr>
          <w:rFonts w:ascii="Arial" w:hAnsi="Arial" w:cs="Arial"/>
          <w:sz w:val="16"/>
          <w:szCs w:val="16"/>
        </w:rPr>
        <w:t>: a-b, WT-NCD and CB2R</w:t>
      </w:r>
      <w:r w:rsidRPr="00DE4CA3">
        <w:rPr>
          <w:rFonts w:ascii="Arial" w:hAnsi="Arial" w:cs="Arial"/>
          <w:sz w:val="16"/>
          <w:szCs w:val="16"/>
          <w:vertAlign w:val="superscript"/>
        </w:rPr>
        <w:t>-/-</w:t>
      </w:r>
      <w:r w:rsidRPr="00DE4CA3">
        <w:rPr>
          <w:rFonts w:ascii="Arial" w:hAnsi="Arial" w:cs="Arial"/>
          <w:sz w:val="16"/>
          <w:szCs w:val="16"/>
        </w:rPr>
        <w:t xml:space="preserve">-NCD, </w:t>
      </w:r>
      <w:r w:rsidRPr="00DE4CA3">
        <w:rPr>
          <w:rFonts w:ascii="Arial" w:hAnsi="Arial" w:cs="Arial"/>
          <w:i/>
          <w:iCs/>
          <w:sz w:val="16"/>
          <w:szCs w:val="16"/>
        </w:rPr>
        <w:t>n</w:t>
      </w:r>
      <w:r w:rsidRPr="00DE4CA3">
        <w:rPr>
          <w:rFonts w:ascii="Arial" w:hAnsi="Arial" w:cs="Arial"/>
          <w:sz w:val="16"/>
          <w:szCs w:val="16"/>
        </w:rPr>
        <w:t xml:space="preserve"> = 4 and WT-HFD, </w:t>
      </w:r>
      <w:r w:rsidRPr="00DE4CA3">
        <w:rPr>
          <w:rFonts w:ascii="Arial" w:hAnsi="Arial" w:cs="Arial"/>
          <w:i/>
          <w:iCs/>
          <w:sz w:val="16"/>
          <w:szCs w:val="16"/>
        </w:rPr>
        <w:t>n</w:t>
      </w:r>
      <w:r w:rsidRPr="00DE4CA3">
        <w:rPr>
          <w:rFonts w:ascii="Arial" w:hAnsi="Arial" w:cs="Arial"/>
          <w:sz w:val="16"/>
          <w:szCs w:val="16"/>
        </w:rPr>
        <w:t xml:space="preserve"> = 3; c-e, </w:t>
      </w:r>
      <w:r w:rsidRPr="00DE4CA3">
        <w:rPr>
          <w:rFonts w:ascii="Arial" w:hAnsi="Arial" w:cs="Arial"/>
          <w:i/>
          <w:iCs/>
          <w:sz w:val="16"/>
          <w:szCs w:val="16"/>
        </w:rPr>
        <w:t>n</w:t>
      </w:r>
      <w:r w:rsidRPr="00DE4CA3">
        <w:rPr>
          <w:rFonts w:ascii="Arial" w:hAnsi="Arial" w:cs="Arial"/>
          <w:sz w:val="16"/>
          <w:szCs w:val="16"/>
        </w:rPr>
        <w:t xml:space="preserve"> = 3 per group. *</w:t>
      </w:r>
      <w:r w:rsidRPr="00DE4CA3">
        <w:rPr>
          <w:rFonts w:ascii="Arial" w:hAnsi="Arial" w:cs="Arial"/>
          <w:i/>
          <w:iCs/>
          <w:sz w:val="16"/>
          <w:szCs w:val="16"/>
        </w:rPr>
        <w:t>P</w:t>
      </w:r>
      <w:r w:rsidRPr="00DE4CA3">
        <w:rPr>
          <w:rFonts w:ascii="Arial" w:hAnsi="Arial" w:cs="Arial"/>
          <w:sz w:val="16"/>
          <w:szCs w:val="16"/>
        </w:rPr>
        <w:t xml:space="preserve"> &lt; 0.05; **</w:t>
      </w:r>
      <w:r w:rsidRPr="00DE4CA3">
        <w:rPr>
          <w:rFonts w:ascii="Arial" w:hAnsi="Arial" w:cs="Arial"/>
          <w:i/>
          <w:iCs/>
          <w:sz w:val="16"/>
          <w:szCs w:val="16"/>
        </w:rPr>
        <w:t>P</w:t>
      </w:r>
      <w:r w:rsidRPr="00DE4CA3">
        <w:rPr>
          <w:rFonts w:ascii="Arial" w:hAnsi="Arial" w:cs="Arial"/>
          <w:sz w:val="16"/>
          <w:szCs w:val="16"/>
        </w:rPr>
        <w:t xml:space="preserve"> &lt; 0.01; ***</w:t>
      </w:r>
      <w:r w:rsidRPr="00DE4CA3">
        <w:rPr>
          <w:rFonts w:ascii="Arial" w:hAnsi="Arial" w:cs="Arial"/>
          <w:i/>
          <w:iCs/>
          <w:sz w:val="16"/>
          <w:szCs w:val="16"/>
        </w:rPr>
        <w:t>P</w:t>
      </w:r>
      <w:r w:rsidRPr="00DE4CA3">
        <w:rPr>
          <w:rFonts w:ascii="Arial" w:hAnsi="Arial" w:cs="Arial"/>
          <w:sz w:val="16"/>
          <w:szCs w:val="16"/>
        </w:rPr>
        <w:t xml:space="preserve"> &lt; 0.001; ****</w:t>
      </w:r>
      <w:r w:rsidRPr="00DE4CA3">
        <w:rPr>
          <w:rFonts w:ascii="Arial" w:hAnsi="Arial" w:cs="Arial"/>
          <w:i/>
          <w:iCs/>
          <w:sz w:val="16"/>
          <w:szCs w:val="16"/>
        </w:rPr>
        <w:t>P</w:t>
      </w:r>
      <w:r w:rsidRPr="00DE4CA3">
        <w:rPr>
          <w:rFonts w:ascii="Arial" w:hAnsi="Arial" w:cs="Arial"/>
          <w:sz w:val="16"/>
          <w:szCs w:val="16"/>
        </w:rPr>
        <w:t xml:space="preserve"> &lt; 0.0001; ns, no significance. Abbreviations: </w:t>
      </w:r>
      <w:r w:rsidRPr="00DE4CA3">
        <w:rPr>
          <w:rFonts w:ascii="Arial" w:hAnsi="Arial" w:cs="Arial"/>
          <w:sz w:val="16"/>
          <w:szCs w:val="16"/>
          <w:lang w:bidi="en-US"/>
        </w:rPr>
        <w:t xml:space="preserve">NCD, normal control diet; HFD, high fat diet; WT, wild type; CB2R, </w:t>
      </w:r>
      <w:r w:rsidRPr="00DE4CA3">
        <w:rPr>
          <w:rFonts w:ascii="Arial" w:hAnsi="Arial" w:cs="Arial"/>
          <w:bCs/>
          <w:sz w:val="16"/>
          <w:szCs w:val="16"/>
          <w:lang w:bidi="en-US"/>
        </w:rPr>
        <w:t>cannabinoid-2 receptor</w:t>
      </w:r>
      <w:r w:rsidRPr="00DE4CA3">
        <w:rPr>
          <w:rFonts w:ascii="Arial" w:hAnsi="Arial" w:cs="Arial"/>
          <w:sz w:val="16"/>
          <w:szCs w:val="16"/>
          <w:lang w:bidi="en-US"/>
        </w:rPr>
        <w:t xml:space="preserve">; </w:t>
      </w:r>
      <w:r w:rsidRPr="00DE4CA3">
        <w:rPr>
          <w:rFonts w:ascii="Arial" w:hAnsi="Arial" w:cs="Arial"/>
          <w:sz w:val="16"/>
          <w:szCs w:val="16"/>
        </w:rPr>
        <w:t>H&amp;E, hematoxylin &amp; eosin; ALT, alanine transaminase; AST, aspartate transferase; TC, total cholesterol; TG, triglyceride; SEM, standard error of mean.</w:t>
      </w:r>
    </w:p>
    <w:p w14:paraId="62D99F93" w14:textId="77777777" w:rsidR="00C47298" w:rsidRPr="00DE4CA3" w:rsidRDefault="00C47298" w:rsidP="00DE4CA3">
      <w:pPr>
        <w:adjustRightInd w:val="0"/>
        <w:snapToGrid w:val="0"/>
        <w:spacing w:line="480" w:lineRule="auto"/>
        <w:rPr>
          <w:sz w:val="16"/>
          <w:szCs w:val="16"/>
        </w:rPr>
      </w:pPr>
    </w:p>
    <w:p w14:paraId="51CBAFC8"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Supplementary Figure s2. The expression of CB2R in different organs between WT mice with NCD, WT NAFLD model mice or CB2R</w:t>
      </w:r>
      <w:r w:rsidRPr="00DE4CA3">
        <w:rPr>
          <w:rFonts w:ascii="Arial" w:hAnsi="Arial" w:cs="Arial"/>
          <w:b/>
          <w:bCs/>
          <w:sz w:val="16"/>
          <w:szCs w:val="16"/>
          <w:vertAlign w:val="superscript"/>
        </w:rPr>
        <w:t>-/-</w:t>
      </w:r>
      <w:r w:rsidRPr="00DE4CA3">
        <w:rPr>
          <w:rFonts w:ascii="Arial" w:hAnsi="Arial" w:cs="Arial"/>
          <w:b/>
          <w:bCs/>
          <w:sz w:val="16"/>
          <w:szCs w:val="16"/>
        </w:rPr>
        <w:t xml:space="preserve"> mice with NCD.</w:t>
      </w:r>
      <w:r w:rsidRPr="00DE4CA3">
        <w:rPr>
          <w:rFonts w:ascii="Arial" w:hAnsi="Arial" w:cs="Arial"/>
          <w:sz w:val="16"/>
          <w:szCs w:val="16"/>
        </w:rPr>
        <w:t xml:space="preserve"> </w:t>
      </w:r>
      <w:r w:rsidRPr="00DE4CA3">
        <w:rPr>
          <w:rFonts w:ascii="Arial" w:hAnsi="Arial" w:cs="Arial"/>
          <w:b/>
          <w:bCs/>
          <w:sz w:val="16"/>
          <w:szCs w:val="16"/>
        </w:rPr>
        <w:t>a</w:t>
      </w:r>
      <w:r w:rsidRPr="00DE4CA3">
        <w:rPr>
          <w:rFonts w:ascii="Arial" w:hAnsi="Arial" w:cs="Arial"/>
          <w:sz w:val="16"/>
          <w:szCs w:val="16"/>
        </w:rPr>
        <w:t xml:space="preserve"> Quantitative real-time PCR analysis of CB2R in liver, intestine, spleen, lymph nodes, pancreas, adipose, muscle and bone between WT mice with NCD, WT NAFLD model mice and CB2R</w:t>
      </w:r>
      <w:r w:rsidRPr="00DE4CA3">
        <w:rPr>
          <w:rFonts w:ascii="Arial" w:hAnsi="Arial" w:cs="Arial"/>
          <w:sz w:val="16"/>
          <w:szCs w:val="16"/>
          <w:vertAlign w:val="superscript"/>
        </w:rPr>
        <w:t>-/-</w:t>
      </w:r>
      <w:r w:rsidRPr="00DE4CA3">
        <w:rPr>
          <w:rFonts w:ascii="Arial" w:hAnsi="Arial" w:cs="Arial"/>
          <w:sz w:val="16"/>
          <w:szCs w:val="16"/>
        </w:rPr>
        <w:t xml:space="preserve"> mice with NCD. </w:t>
      </w:r>
      <w:r w:rsidRPr="00DE4CA3">
        <w:rPr>
          <w:rFonts w:ascii="Arial" w:hAnsi="Arial" w:cs="Arial"/>
          <w:b/>
          <w:bCs/>
          <w:sz w:val="16"/>
          <w:szCs w:val="16"/>
        </w:rPr>
        <w:t>b</w:t>
      </w:r>
      <w:r w:rsidRPr="00DE4CA3">
        <w:rPr>
          <w:rFonts w:ascii="Arial" w:hAnsi="Arial" w:cs="Arial"/>
          <w:sz w:val="16"/>
          <w:szCs w:val="16"/>
        </w:rPr>
        <w:t xml:space="preserve"> Immunohistochemically labeled with CB2R of mice liver sections and quantitative analysis (200×, 400×) between WT mice fed with NCD or HFD. </w:t>
      </w:r>
      <w:r w:rsidRPr="00DE4CA3">
        <w:rPr>
          <w:rFonts w:ascii="Arial" w:hAnsi="Arial" w:cs="Arial"/>
          <w:b/>
          <w:bCs/>
          <w:sz w:val="16"/>
          <w:szCs w:val="16"/>
        </w:rPr>
        <w:t>c</w:t>
      </w:r>
      <w:r w:rsidRPr="00DE4CA3">
        <w:rPr>
          <w:rFonts w:ascii="Arial" w:hAnsi="Arial" w:cs="Arial"/>
          <w:sz w:val="16"/>
          <w:szCs w:val="16"/>
        </w:rPr>
        <w:t xml:space="preserve"> Immunohistochemically labeled with CB2R of mice intestine sections and quantitative analysis (200×, 400×) between WT mice with NCD or HFD. </w:t>
      </w:r>
      <w:r w:rsidRPr="00DE4CA3">
        <w:rPr>
          <w:rFonts w:ascii="Arial" w:hAnsi="Arial" w:cs="Arial"/>
          <w:b/>
          <w:bCs/>
          <w:sz w:val="16"/>
          <w:szCs w:val="16"/>
        </w:rPr>
        <w:t>d</w:t>
      </w:r>
      <w:r w:rsidRPr="00DE4CA3">
        <w:rPr>
          <w:rFonts w:ascii="Arial" w:hAnsi="Arial" w:cs="Arial"/>
          <w:sz w:val="16"/>
          <w:szCs w:val="16"/>
        </w:rPr>
        <w:t xml:space="preserve"> Immunofluorescence staining of CB2R (green) and CK18 (hepatocytes, red) in liver of WT mice. Nuclei are stained with DAPI (blue). Note: Data were given as mean ± SEM. </w:t>
      </w:r>
      <w:r w:rsidRPr="00DE4CA3">
        <w:rPr>
          <w:rFonts w:ascii="Arial" w:hAnsi="Arial" w:cs="Arial"/>
          <w:i/>
          <w:iCs/>
          <w:sz w:val="16"/>
          <w:szCs w:val="16"/>
        </w:rPr>
        <w:t>n</w:t>
      </w:r>
      <w:r w:rsidRPr="00DE4CA3">
        <w:rPr>
          <w:rFonts w:ascii="Arial" w:hAnsi="Arial" w:cs="Arial"/>
          <w:sz w:val="16"/>
          <w:szCs w:val="16"/>
        </w:rPr>
        <w:t xml:space="preserve">: a-d, </w:t>
      </w:r>
      <w:r w:rsidRPr="00DE4CA3">
        <w:rPr>
          <w:rFonts w:ascii="Arial" w:hAnsi="Arial" w:cs="Arial"/>
          <w:i/>
          <w:iCs/>
          <w:sz w:val="16"/>
          <w:szCs w:val="16"/>
        </w:rPr>
        <w:t>n</w:t>
      </w:r>
      <w:r w:rsidRPr="00DE4CA3">
        <w:rPr>
          <w:rFonts w:ascii="Arial" w:hAnsi="Arial" w:cs="Arial"/>
          <w:sz w:val="16"/>
          <w:szCs w:val="16"/>
        </w:rPr>
        <w:t xml:space="preserve"> = 3 per group. *</w:t>
      </w:r>
      <w:r w:rsidRPr="00DE4CA3">
        <w:rPr>
          <w:rFonts w:ascii="Arial" w:hAnsi="Arial" w:cs="Arial"/>
          <w:i/>
          <w:iCs/>
          <w:sz w:val="16"/>
          <w:szCs w:val="16"/>
        </w:rPr>
        <w:t>P</w:t>
      </w:r>
      <w:r w:rsidRPr="00DE4CA3">
        <w:rPr>
          <w:rFonts w:ascii="Arial" w:hAnsi="Arial" w:cs="Arial"/>
          <w:sz w:val="16"/>
          <w:szCs w:val="16"/>
        </w:rPr>
        <w:t xml:space="preserve"> &lt; 0.05; **</w:t>
      </w:r>
      <w:r w:rsidRPr="00DE4CA3">
        <w:rPr>
          <w:rFonts w:ascii="Arial" w:hAnsi="Arial" w:cs="Arial"/>
          <w:i/>
          <w:iCs/>
          <w:sz w:val="16"/>
          <w:szCs w:val="16"/>
        </w:rPr>
        <w:t>P</w:t>
      </w:r>
      <w:r w:rsidRPr="00DE4CA3">
        <w:rPr>
          <w:rFonts w:ascii="Arial" w:hAnsi="Arial" w:cs="Arial"/>
          <w:sz w:val="16"/>
          <w:szCs w:val="16"/>
        </w:rPr>
        <w:t xml:space="preserve"> &lt; 0.01; ***</w:t>
      </w:r>
      <w:r w:rsidRPr="00DE4CA3">
        <w:rPr>
          <w:rFonts w:ascii="Arial" w:hAnsi="Arial" w:cs="Arial"/>
          <w:i/>
          <w:iCs/>
          <w:sz w:val="16"/>
          <w:szCs w:val="16"/>
        </w:rPr>
        <w:t>P</w:t>
      </w:r>
      <w:r w:rsidRPr="00DE4CA3">
        <w:rPr>
          <w:rFonts w:ascii="Arial" w:hAnsi="Arial" w:cs="Arial"/>
          <w:sz w:val="16"/>
          <w:szCs w:val="16"/>
        </w:rPr>
        <w:t xml:space="preserve"> &lt; 0.001; ****</w:t>
      </w:r>
      <w:r w:rsidRPr="00DE4CA3">
        <w:rPr>
          <w:rFonts w:ascii="Arial" w:hAnsi="Arial" w:cs="Arial"/>
          <w:i/>
          <w:iCs/>
          <w:sz w:val="16"/>
          <w:szCs w:val="16"/>
        </w:rPr>
        <w:t>P</w:t>
      </w:r>
      <w:r w:rsidRPr="00DE4CA3">
        <w:rPr>
          <w:rFonts w:ascii="Arial" w:hAnsi="Arial" w:cs="Arial"/>
          <w:sz w:val="16"/>
          <w:szCs w:val="16"/>
        </w:rPr>
        <w:t xml:space="preserve"> &lt; 0.0001; ns, no significance. Abbreviations: CK18, cytokeratin18.</w:t>
      </w:r>
    </w:p>
    <w:p w14:paraId="0E235C48" w14:textId="77777777" w:rsidR="00C47298" w:rsidRPr="00DE4CA3" w:rsidRDefault="00C47298" w:rsidP="00DE4CA3">
      <w:pPr>
        <w:adjustRightInd w:val="0"/>
        <w:snapToGrid w:val="0"/>
        <w:spacing w:line="480" w:lineRule="auto"/>
        <w:rPr>
          <w:sz w:val="16"/>
          <w:szCs w:val="16"/>
        </w:rPr>
      </w:pPr>
    </w:p>
    <w:p w14:paraId="7D97FAB6"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 xml:space="preserve">Supplementary Figure s3. Genotyping Assay for Mouse Tail. </w:t>
      </w:r>
      <w:r w:rsidRPr="00DE4CA3">
        <w:rPr>
          <w:rFonts w:ascii="Arial" w:hAnsi="Arial" w:cs="Arial"/>
          <w:sz w:val="16"/>
          <w:szCs w:val="16"/>
        </w:rPr>
        <w:t>WT primers including forward primer (5’-GGAGTTCAACCCCATGAAGGAGTAC-3’) and reverse primer (5’-GACTAGAGCTTTGTAGGTAGGCGG-G-3’), CB2R knock out primers including forward primer (5’-GGGGATCGATCCGTCCTGTAAGTCT-3’) and reverse primer (5’-GACTAGAGCTTTGTAGGTAGGCGGG-3’).</w:t>
      </w:r>
    </w:p>
    <w:p w14:paraId="4A7A2009" w14:textId="77777777" w:rsidR="00C47298" w:rsidRPr="00DE4CA3" w:rsidRDefault="00C47298" w:rsidP="00DE4CA3">
      <w:pPr>
        <w:adjustRightInd w:val="0"/>
        <w:snapToGrid w:val="0"/>
        <w:spacing w:line="480" w:lineRule="auto"/>
        <w:rPr>
          <w:rFonts w:ascii="Arial" w:hAnsi="Arial" w:cs="Arial"/>
          <w:b/>
          <w:bCs/>
          <w:sz w:val="16"/>
          <w:szCs w:val="16"/>
        </w:rPr>
      </w:pPr>
    </w:p>
    <w:p w14:paraId="4A2BE64A"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Supplementary Figure s4. RNA-sequencing analysis of liver transcriptome between CB2R</w:t>
      </w:r>
      <w:r w:rsidRPr="00DE4CA3">
        <w:rPr>
          <w:rFonts w:ascii="Arial" w:hAnsi="Arial" w:cs="Arial"/>
          <w:b/>
          <w:bCs/>
          <w:sz w:val="16"/>
          <w:szCs w:val="16"/>
          <w:vertAlign w:val="superscript"/>
        </w:rPr>
        <w:t>-/-</w:t>
      </w:r>
      <w:r w:rsidRPr="00DE4CA3">
        <w:rPr>
          <w:rFonts w:ascii="Arial" w:hAnsi="Arial" w:cs="Arial"/>
          <w:b/>
          <w:bCs/>
          <w:sz w:val="16"/>
          <w:szCs w:val="16"/>
        </w:rPr>
        <w:t xml:space="preserve"> mice and WT NCD mice.</w:t>
      </w:r>
      <w:r w:rsidRPr="00DE4CA3">
        <w:rPr>
          <w:rFonts w:ascii="Arial" w:hAnsi="Arial" w:cs="Arial"/>
          <w:sz w:val="16"/>
          <w:szCs w:val="16"/>
        </w:rPr>
        <w:t xml:space="preserve"> </w:t>
      </w:r>
      <w:proofErr w:type="spellStart"/>
      <w:r w:rsidRPr="00DE4CA3">
        <w:rPr>
          <w:rFonts w:ascii="Arial" w:hAnsi="Arial" w:cs="Arial"/>
          <w:b/>
          <w:bCs/>
          <w:sz w:val="16"/>
          <w:szCs w:val="16"/>
        </w:rPr>
        <w:t>a</w:t>
      </w:r>
      <w:proofErr w:type="spellEnd"/>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volcano plots of DEGs in CB2R</w:t>
      </w:r>
      <w:r w:rsidRPr="00DE4CA3">
        <w:rPr>
          <w:rFonts w:ascii="Arial" w:hAnsi="Arial" w:cs="Arial"/>
          <w:sz w:val="16"/>
          <w:szCs w:val="16"/>
          <w:vertAlign w:val="superscript"/>
        </w:rPr>
        <w:t>-/-</w:t>
      </w:r>
      <w:r w:rsidRPr="00DE4CA3">
        <w:rPr>
          <w:rFonts w:ascii="Arial" w:hAnsi="Arial" w:cs="Arial"/>
          <w:sz w:val="16"/>
          <w:szCs w:val="16"/>
        </w:rPr>
        <w:t xml:space="preserve"> mice compared to WT mice (blue, down-regulated; red, up-regulated). </w:t>
      </w:r>
      <w:r w:rsidRPr="00DE4CA3">
        <w:rPr>
          <w:rFonts w:ascii="Arial" w:hAnsi="Arial" w:cs="Arial"/>
          <w:b/>
          <w:bCs/>
          <w:sz w:val="16"/>
          <w:szCs w:val="16"/>
        </w:rPr>
        <w:t>b</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clustering heat map of DEGs. </w:t>
      </w:r>
      <w:r w:rsidRPr="00DE4CA3">
        <w:rPr>
          <w:rFonts w:ascii="Arial" w:hAnsi="Arial" w:cs="Arial"/>
          <w:b/>
          <w:bCs/>
          <w:sz w:val="16"/>
          <w:szCs w:val="16"/>
        </w:rPr>
        <w:t>c</w:t>
      </w:r>
      <w:r w:rsidRPr="00DE4CA3">
        <w:rPr>
          <w:rFonts w:ascii="Arial" w:hAnsi="Arial" w:cs="Arial"/>
          <w:sz w:val="16"/>
          <w:szCs w:val="16"/>
        </w:rPr>
        <w:t xml:space="preserve"> The GO and </w:t>
      </w:r>
      <w:r w:rsidRPr="00DE4CA3">
        <w:rPr>
          <w:rFonts w:ascii="Arial" w:hAnsi="Arial" w:cs="Arial"/>
          <w:b/>
          <w:bCs/>
          <w:sz w:val="16"/>
          <w:szCs w:val="16"/>
        </w:rPr>
        <w:t>d</w:t>
      </w:r>
      <w:r w:rsidRPr="00DE4CA3">
        <w:rPr>
          <w:rFonts w:ascii="Arial" w:hAnsi="Arial" w:cs="Arial"/>
          <w:sz w:val="16"/>
          <w:szCs w:val="16"/>
        </w:rPr>
        <w:t xml:space="preserve"> KEGG pathway enrichment analysis of DEGs between CB2R</w:t>
      </w:r>
      <w:r w:rsidRPr="00DE4CA3">
        <w:rPr>
          <w:rFonts w:ascii="Arial" w:hAnsi="Arial" w:cs="Arial"/>
          <w:sz w:val="16"/>
          <w:szCs w:val="16"/>
          <w:vertAlign w:val="superscript"/>
        </w:rPr>
        <w:t>-/-</w:t>
      </w:r>
      <w:r w:rsidRPr="00DE4CA3">
        <w:rPr>
          <w:rFonts w:ascii="Arial" w:hAnsi="Arial" w:cs="Arial"/>
          <w:sz w:val="16"/>
          <w:szCs w:val="16"/>
        </w:rPr>
        <w:t xml:space="preserve"> mice and WT mice. </w:t>
      </w:r>
      <w:r w:rsidRPr="00DE4CA3">
        <w:rPr>
          <w:rFonts w:ascii="Arial" w:hAnsi="Arial" w:cs="Arial"/>
          <w:b/>
          <w:bCs/>
          <w:sz w:val="16"/>
          <w:szCs w:val="16"/>
        </w:rPr>
        <w:t>e</w:t>
      </w:r>
      <w:r w:rsidRPr="00DE4CA3">
        <w:rPr>
          <w:rFonts w:ascii="Arial" w:hAnsi="Arial" w:cs="Arial"/>
          <w:sz w:val="16"/>
          <w:szCs w:val="16"/>
        </w:rPr>
        <w:t xml:space="preserve"> GSEA of fatty acid biosynthetic process, </w:t>
      </w:r>
      <w:r w:rsidRPr="00DE4CA3">
        <w:rPr>
          <w:rFonts w:ascii="Arial" w:hAnsi="Arial" w:cs="Arial"/>
          <w:b/>
          <w:bCs/>
          <w:sz w:val="16"/>
          <w:szCs w:val="16"/>
        </w:rPr>
        <w:t>f</w:t>
      </w:r>
      <w:r w:rsidRPr="00DE4CA3">
        <w:rPr>
          <w:rFonts w:ascii="Arial" w:hAnsi="Arial" w:cs="Arial"/>
          <w:sz w:val="16"/>
          <w:szCs w:val="16"/>
        </w:rPr>
        <w:t xml:space="preserve"> fatty acid oxidation and </w:t>
      </w:r>
      <w:r w:rsidRPr="00DE4CA3">
        <w:rPr>
          <w:rFonts w:ascii="Arial" w:hAnsi="Arial" w:cs="Arial"/>
          <w:b/>
          <w:bCs/>
          <w:sz w:val="16"/>
          <w:szCs w:val="16"/>
        </w:rPr>
        <w:t>g</w:t>
      </w:r>
      <w:r w:rsidRPr="00DE4CA3">
        <w:rPr>
          <w:rFonts w:ascii="Arial" w:hAnsi="Arial" w:cs="Arial"/>
          <w:sz w:val="16"/>
          <w:szCs w:val="16"/>
        </w:rPr>
        <w:t xml:space="preserve"> fatty acid transport in CB2R</w:t>
      </w:r>
      <w:r w:rsidRPr="00DE4CA3">
        <w:rPr>
          <w:rFonts w:ascii="Arial" w:hAnsi="Arial" w:cs="Arial"/>
          <w:sz w:val="16"/>
          <w:szCs w:val="16"/>
          <w:vertAlign w:val="superscript"/>
        </w:rPr>
        <w:t>-/-</w:t>
      </w:r>
      <w:r w:rsidRPr="00DE4CA3">
        <w:rPr>
          <w:rFonts w:ascii="Arial" w:hAnsi="Arial" w:cs="Arial"/>
          <w:sz w:val="16"/>
          <w:szCs w:val="16"/>
        </w:rPr>
        <w:t xml:space="preserve"> mice compared to WT mice. </w:t>
      </w:r>
      <w:r w:rsidRPr="00DE4CA3">
        <w:rPr>
          <w:rFonts w:ascii="Arial" w:hAnsi="Arial" w:cs="Arial"/>
          <w:b/>
          <w:bCs/>
          <w:sz w:val="16"/>
          <w:szCs w:val="16"/>
        </w:rPr>
        <w:t>h</w:t>
      </w:r>
      <w:r w:rsidRPr="00DE4CA3">
        <w:rPr>
          <w:rFonts w:ascii="Arial" w:hAnsi="Arial" w:cs="Arial"/>
          <w:sz w:val="16"/>
          <w:szCs w:val="16"/>
        </w:rPr>
        <w:t xml:space="preserve"> Gene sets of lipid metabolism. </w:t>
      </w:r>
      <w:r w:rsidRPr="00DE4CA3">
        <w:rPr>
          <w:rFonts w:ascii="Arial" w:hAnsi="Arial" w:cs="Arial"/>
          <w:i/>
          <w:iCs/>
          <w:sz w:val="16"/>
          <w:szCs w:val="16"/>
        </w:rPr>
        <w:t>n</w:t>
      </w:r>
      <w:r w:rsidRPr="00DE4CA3">
        <w:rPr>
          <w:rFonts w:ascii="Arial" w:hAnsi="Arial" w:cs="Arial"/>
          <w:sz w:val="16"/>
          <w:szCs w:val="16"/>
        </w:rPr>
        <w:t xml:space="preserve">: a-h, </w:t>
      </w:r>
      <w:r w:rsidRPr="00DE4CA3">
        <w:rPr>
          <w:rFonts w:ascii="Arial" w:hAnsi="Arial" w:cs="Arial"/>
          <w:i/>
          <w:iCs/>
          <w:sz w:val="16"/>
          <w:szCs w:val="16"/>
        </w:rPr>
        <w:t>n</w:t>
      </w:r>
      <w:r w:rsidRPr="00DE4CA3">
        <w:rPr>
          <w:rFonts w:ascii="Arial" w:hAnsi="Arial" w:cs="Arial"/>
          <w:sz w:val="16"/>
          <w:szCs w:val="16"/>
        </w:rPr>
        <w:t xml:space="preserve"> = 4 per group. Abbreviations: DEGs, differential expressed genes; GSEA, gene set enrichment </w:t>
      </w:r>
      <w:proofErr w:type="spellStart"/>
      <w:r w:rsidRPr="00DE4CA3">
        <w:rPr>
          <w:rFonts w:ascii="Arial" w:hAnsi="Arial" w:cs="Arial"/>
          <w:sz w:val="16"/>
          <w:szCs w:val="16"/>
        </w:rPr>
        <w:t>analyse</w:t>
      </w:r>
      <w:proofErr w:type="spellEnd"/>
      <w:r w:rsidRPr="00DE4CA3">
        <w:rPr>
          <w:rFonts w:ascii="Arial" w:hAnsi="Arial" w:cs="Arial"/>
          <w:sz w:val="16"/>
          <w:szCs w:val="16"/>
        </w:rPr>
        <w:t>.</w:t>
      </w:r>
    </w:p>
    <w:p w14:paraId="112E89BD" w14:textId="77777777" w:rsidR="00C47298" w:rsidRPr="00DE4CA3" w:rsidRDefault="00C47298" w:rsidP="00DE4CA3">
      <w:pPr>
        <w:adjustRightInd w:val="0"/>
        <w:snapToGrid w:val="0"/>
        <w:spacing w:line="480" w:lineRule="auto"/>
        <w:rPr>
          <w:rFonts w:ascii="Arial" w:hAnsi="Arial" w:cs="Arial"/>
          <w:sz w:val="16"/>
          <w:szCs w:val="16"/>
        </w:rPr>
      </w:pPr>
    </w:p>
    <w:p w14:paraId="4166DDDE"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Supplementary Figure s5. The severity of NAFLD in adult CB2R</w:t>
      </w:r>
      <w:r w:rsidRPr="00DE4CA3">
        <w:rPr>
          <w:rFonts w:ascii="Arial" w:hAnsi="Arial" w:cs="Arial"/>
          <w:b/>
          <w:bCs/>
          <w:sz w:val="16"/>
          <w:szCs w:val="16"/>
          <w:vertAlign w:val="superscript"/>
        </w:rPr>
        <w:t>-/-</w:t>
      </w:r>
      <w:r w:rsidRPr="00DE4CA3">
        <w:rPr>
          <w:rFonts w:ascii="Arial" w:hAnsi="Arial" w:cs="Arial"/>
          <w:b/>
          <w:bCs/>
          <w:sz w:val="16"/>
          <w:szCs w:val="16"/>
        </w:rPr>
        <w:t xml:space="preserve"> mice were improved when cohousing with WT mice.</w:t>
      </w:r>
      <w:r w:rsidRPr="00DE4CA3">
        <w:rPr>
          <w:rFonts w:ascii="Arial" w:hAnsi="Arial" w:cs="Arial"/>
          <w:sz w:val="16"/>
          <w:szCs w:val="16"/>
        </w:rPr>
        <w:t xml:space="preserve"> </w:t>
      </w:r>
      <w:proofErr w:type="spellStart"/>
      <w:r w:rsidRPr="00DE4CA3">
        <w:rPr>
          <w:rFonts w:ascii="Arial" w:hAnsi="Arial" w:cs="Arial"/>
          <w:b/>
          <w:bCs/>
          <w:sz w:val="16"/>
          <w:szCs w:val="16"/>
        </w:rPr>
        <w:t>a</w:t>
      </w:r>
      <w:proofErr w:type="spellEnd"/>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body weight, food intake of 6-week-old CB2R</w:t>
      </w:r>
      <w:r w:rsidRPr="00DE4CA3">
        <w:rPr>
          <w:rFonts w:ascii="Arial" w:hAnsi="Arial" w:cs="Arial"/>
          <w:sz w:val="16"/>
          <w:szCs w:val="16"/>
          <w:vertAlign w:val="superscript"/>
        </w:rPr>
        <w:t>-/-</w:t>
      </w:r>
      <w:r w:rsidRPr="00DE4CA3">
        <w:rPr>
          <w:rFonts w:ascii="Arial" w:hAnsi="Arial" w:cs="Arial"/>
          <w:sz w:val="16"/>
          <w:szCs w:val="16"/>
        </w:rPr>
        <w:t xml:space="preserve"> mice cohousing with WT mice or CB2R</w:t>
      </w:r>
      <w:r w:rsidRPr="00DE4CA3">
        <w:rPr>
          <w:rFonts w:ascii="Arial" w:hAnsi="Arial" w:cs="Arial"/>
          <w:sz w:val="16"/>
          <w:szCs w:val="16"/>
          <w:vertAlign w:val="superscript"/>
        </w:rPr>
        <w:t>-/-</w:t>
      </w:r>
      <w:r w:rsidRPr="00DE4CA3">
        <w:rPr>
          <w:rFonts w:ascii="Arial" w:hAnsi="Arial" w:cs="Arial"/>
          <w:sz w:val="16"/>
          <w:szCs w:val="16"/>
        </w:rPr>
        <w:t xml:space="preserve"> mice throughout the experimental period were recorded. </w:t>
      </w:r>
      <w:r w:rsidRPr="00DE4CA3">
        <w:rPr>
          <w:rFonts w:ascii="Arial" w:hAnsi="Arial" w:cs="Arial"/>
          <w:b/>
          <w:bCs/>
          <w:sz w:val="16"/>
          <w:szCs w:val="16"/>
        </w:rPr>
        <w:t>b</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representative images (200×) of H&amp;E or Oil red O staining, and the morphometric analysis of Oil red O staining for quantification. </w:t>
      </w:r>
      <w:r w:rsidRPr="00DE4CA3">
        <w:rPr>
          <w:rFonts w:ascii="Arial" w:hAnsi="Arial" w:cs="Arial"/>
          <w:b/>
          <w:bCs/>
          <w:sz w:val="16"/>
          <w:szCs w:val="16"/>
        </w:rPr>
        <w:t>c</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comparison of serum levels of </w:t>
      </w:r>
      <w:r w:rsidRPr="00DE4CA3">
        <w:rPr>
          <w:rFonts w:ascii="Arial" w:hAnsi="Arial" w:cs="Arial"/>
          <w:sz w:val="16"/>
          <w:szCs w:val="16"/>
        </w:rPr>
        <w:lastRenderedPageBreak/>
        <w:t>transaminases (ALT, AST) and lipid parameters (TG, TC), and blood glucose between CB2R</w:t>
      </w:r>
      <w:r w:rsidRPr="00DE4CA3">
        <w:rPr>
          <w:rFonts w:ascii="Arial" w:hAnsi="Arial" w:cs="Arial"/>
          <w:sz w:val="16"/>
          <w:szCs w:val="16"/>
          <w:vertAlign w:val="superscript"/>
        </w:rPr>
        <w:t>-/-</w:t>
      </w:r>
      <w:r w:rsidRPr="00DE4CA3">
        <w:rPr>
          <w:rFonts w:ascii="Arial" w:hAnsi="Arial" w:cs="Arial"/>
          <w:sz w:val="16"/>
          <w:szCs w:val="16"/>
        </w:rPr>
        <w:t xml:space="preserve"> mice cohousing with WT mice or CB2R</w:t>
      </w:r>
      <w:r w:rsidRPr="00DE4CA3">
        <w:rPr>
          <w:rFonts w:ascii="Arial" w:hAnsi="Arial" w:cs="Arial"/>
          <w:sz w:val="16"/>
          <w:szCs w:val="16"/>
          <w:vertAlign w:val="superscript"/>
        </w:rPr>
        <w:t>-/-</w:t>
      </w:r>
      <w:r w:rsidRPr="00DE4CA3">
        <w:rPr>
          <w:rFonts w:ascii="Arial" w:hAnsi="Arial" w:cs="Arial"/>
          <w:sz w:val="16"/>
          <w:szCs w:val="16"/>
        </w:rPr>
        <w:t xml:space="preserve"> mice. </w:t>
      </w:r>
      <w:r w:rsidRPr="00DE4CA3">
        <w:rPr>
          <w:rFonts w:ascii="Arial" w:hAnsi="Arial" w:cs="Arial"/>
          <w:b/>
          <w:bCs/>
          <w:sz w:val="16"/>
          <w:szCs w:val="16"/>
        </w:rPr>
        <w:t>d</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comparison of liver homogenate levels of TG. Note: Data were given as mean ± SEM. </w:t>
      </w:r>
      <w:r w:rsidRPr="00DE4CA3">
        <w:rPr>
          <w:rFonts w:ascii="Arial" w:hAnsi="Arial" w:cs="Arial"/>
          <w:i/>
          <w:iCs/>
          <w:sz w:val="16"/>
          <w:szCs w:val="16"/>
        </w:rPr>
        <w:t>n</w:t>
      </w:r>
      <w:r w:rsidRPr="00DE4CA3">
        <w:rPr>
          <w:rFonts w:ascii="Arial" w:hAnsi="Arial" w:cs="Arial"/>
          <w:sz w:val="16"/>
          <w:szCs w:val="16"/>
        </w:rPr>
        <w:t xml:space="preserve">: a-d, </w:t>
      </w:r>
      <w:r w:rsidRPr="00DE4CA3">
        <w:rPr>
          <w:rFonts w:ascii="Arial" w:hAnsi="Arial" w:cs="Arial"/>
          <w:i/>
          <w:iCs/>
          <w:sz w:val="16"/>
          <w:szCs w:val="16"/>
        </w:rPr>
        <w:t>n</w:t>
      </w:r>
      <w:r w:rsidRPr="00DE4CA3">
        <w:rPr>
          <w:rFonts w:ascii="Arial" w:hAnsi="Arial" w:cs="Arial"/>
          <w:sz w:val="16"/>
          <w:szCs w:val="16"/>
        </w:rPr>
        <w:t xml:space="preserve"> = 5 per group. *</w:t>
      </w:r>
      <w:r w:rsidRPr="00DE4CA3">
        <w:rPr>
          <w:rFonts w:ascii="Arial" w:hAnsi="Arial" w:cs="Arial"/>
          <w:i/>
          <w:iCs/>
          <w:sz w:val="16"/>
          <w:szCs w:val="16"/>
        </w:rPr>
        <w:t>P</w:t>
      </w:r>
      <w:r w:rsidRPr="00DE4CA3">
        <w:rPr>
          <w:rFonts w:ascii="Arial" w:hAnsi="Arial" w:cs="Arial"/>
          <w:sz w:val="16"/>
          <w:szCs w:val="16"/>
        </w:rPr>
        <w:t xml:space="preserve"> &lt; 0.05; **</w:t>
      </w:r>
      <w:r w:rsidRPr="00DE4CA3">
        <w:rPr>
          <w:rFonts w:ascii="Arial" w:hAnsi="Arial" w:cs="Arial"/>
          <w:i/>
          <w:iCs/>
          <w:sz w:val="16"/>
          <w:szCs w:val="16"/>
        </w:rPr>
        <w:t>P</w:t>
      </w:r>
      <w:r w:rsidRPr="00DE4CA3">
        <w:rPr>
          <w:rFonts w:ascii="Arial" w:hAnsi="Arial" w:cs="Arial"/>
          <w:sz w:val="16"/>
          <w:szCs w:val="16"/>
        </w:rPr>
        <w:t xml:space="preserve"> &lt; 0.01; ns, no significance. Abbreviations: Co, cohousing.</w:t>
      </w:r>
    </w:p>
    <w:p w14:paraId="225A6F0F" w14:textId="77777777" w:rsidR="00C47298" w:rsidRPr="00DE4CA3" w:rsidRDefault="00C47298" w:rsidP="00DE4CA3">
      <w:pPr>
        <w:adjustRightInd w:val="0"/>
        <w:snapToGrid w:val="0"/>
        <w:spacing w:line="480" w:lineRule="auto"/>
        <w:rPr>
          <w:rFonts w:ascii="Arial" w:hAnsi="Arial" w:cs="Arial"/>
          <w:sz w:val="16"/>
          <w:szCs w:val="16"/>
        </w:rPr>
      </w:pPr>
    </w:p>
    <w:p w14:paraId="02634B06"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Supplementary Figure s6. The phenotype of WT mice cohoused with CB2R</w:t>
      </w:r>
      <w:r w:rsidRPr="00DE4CA3">
        <w:rPr>
          <w:rFonts w:ascii="Arial" w:hAnsi="Arial" w:cs="Arial"/>
          <w:b/>
          <w:bCs/>
          <w:sz w:val="16"/>
          <w:szCs w:val="16"/>
          <w:vertAlign w:val="superscript"/>
        </w:rPr>
        <w:t>-/-</w:t>
      </w:r>
      <w:r w:rsidRPr="00DE4CA3">
        <w:rPr>
          <w:rFonts w:ascii="Arial" w:hAnsi="Arial" w:cs="Arial"/>
          <w:b/>
          <w:bCs/>
          <w:sz w:val="16"/>
          <w:szCs w:val="16"/>
        </w:rPr>
        <w:t xml:space="preserve"> mice.</w:t>
      </w:r>
      <w:r w:rsidRPr="00DE4CA3">
        <w:rPr>
          <w:rFonts w:ascii="Arial" w:hAnsi="Arial" w:cs="Arial"/>
          <w:sz w:val="16"/>
          <w:szCs w:val="16"/>
        </w:rPr>
        <w:t xml:space="preserve"> </w:t>
      </w:r>
      <w:proofErr w:type="spellStart"/>
      <w:r w:rsidRPr="00DE4CA3">
        <w:rPr>
          <w:rFonts w:ascii="Arial" w:hAnsi="Arial" w:cs="Arial"/>
          <w:b/>
          <w:bCs/>
          <w:sz w:val="16"/>
          <w:szCs w:val="16"/>
        </w:rPr>
        <w:t>a</w:t>
      </w:r>
      <w:proofErr w:type="spellEnd"/>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body weight, food intake of 6-week-old WT mice cohousing with CB2R</w:t>
      </w:r>
      <w:r w:rsidRPr="00DE4CA3">
        <w:rPr>
          <w:rFonts w:ascii="Arial" w:hAnsi="Arial" w:cs="Arial"/>
          <w:sz w:val="16"/>
          <w:szCs w:val="16"/>
          <w:vertAlign w:val="superscript"/>
        </w:rPr>
        <w:t>-/-</w:t>
      </w:r>
      <w:r w:rsidRPr="00DE4CA3">
        <w:rPr>
          <w:rFonts w:ascii="Arial" w:hAnsi="Arial" w:cs="Arial"/>
          <w:sz w:val="16"/>
          <w:szCs w:val="16"/>
        </w:rPr>
        <w:t xml:space="preserve"> mice or WT mice throughout the experimental period were recorded. </w:t>
      </w:r>
      <w:r w:rsidRPr="00DE4CA3">
        <w:rPr>
          <w:rFonts w:ascii="Arial" w:hAnsi="Arial" w:cs="Arial"/>
          <w:b/>
          <w:bCs/>
          <w:sz w:val="16"/>
          <w:szCs w:val="16"/>
        </w:rPr>
        <w:t>b</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representative images (200×) of H&amp;E or Oil red O staining, and the morphometric analysis of Oil red O staining for quantification. </w:t>
      </w:r>
      <w:r w:rsidRPr="00DE4CA3">
        <w:rPr>
          <w:rFonts w:ascii="Arial" w:hAnsi="Arial" w:cs="Arial"/>
          <w:b/>
          <w:bCs/>
          <w:sz w:val="16"/>
          <w:szCs w:val="16"/>
        </w:rPr>
        <w:t xml:space="preserve">c </w:t>
      </w:r>
      <w:proofErr w:type="gramStart"/>
      <w:r w:rsidRPr="00DE4CA3">
        <w:rPr>
          <w:rFonts w:ascii="Arial" w:hAnsi="Arial" w:cs="Arial"/>
          <w:sz w:val="16"/>
          <w:szCs w:val="16"/>
        </w:rPr>
        <w:t>The</w:t>
      </w:r>
      <w:proofErr w:type="gramEnd"/>
      <w:r w:rsidRPr="00DE4CA3">
        <w:rPr>
          <w:rFonts w:ascii="Arial" w:hAnsi="Arial" w:cs="Arial"/>
          <w:sz w:val="16"/>
          <w:szCs w:val="16"/>
        </w:rPr>
        <w:t xml:space="preserve"> comparison of serum levels of transaminases (ALT, AST) and lipid parameters (TG, TC), and blood glucose between WT mice cohousing with CB2R</w:t>
      </w:r>
      <w:r w:rsidRPr="00DE4CA3">
        <w:rPr>
          <w:rFonts w:ascii="Arial" w:hAnsi="Arial" w:cs="Arial"/>
          <w:sz w:val="16"/>
          <w:szCs w:val="16"/>
          <w:vertAlign w:val="superscript"/>
        </w:rPr>
        <w:t>-/-</w:t>
      </w:r>
      <w:r w:rsidRPr="00DE4CA3">
        <w:rPr>
          <w:rFonts w:ascii="Arial" w:hAnsi="Arial" w:cs="Arial"/>
          <w:sz w:val="16"/>
          <w:szCs w:val="16"/>
        </w:rPr>
        <w:t xml:space="preserve"> mice or WT mice. </w:t>
      </w:r>
      <w:r w:rsidRPr="00DE4CA3">
        <w:rPr>
          <w:rFonts w:ascii="Arial" w:hAnsi="Arial" w:cs="Arial"/>
          <w:b/>
          <w:bCs/>
          <w:sz w:val="16"/>
          <w:szCs w:val="16"/>
        </w:rPr>
        <w:t>d</w:t>
      </w:r>
      <w:r w:rsidRPr="00DE4CA3">
        <w:rPr>
          <w:rFonts w:ascii="Arial" w:hAnsi="Arial" w:cs="Arial"/>
          <w:sz w:val="16"/>
          <w:szCs w:val="16"/>
        </w:rPr>
        <w:t xml:space="preserve"> </w:t>
      </w:r>
      <w:proofErr w:type="gramStart"/>
      <w:r w:rsidRPr="00DE4CA3">
        <w:rPr>
          <w:rFonts w:ascii="Arial" w:hAnsi="Arial" w:cs="Arial"/>
          <w:sz w:val="16"/>
          <w:szCs w:val="16"/>
        </w:rPr>
        <w:t>The</w:t>
      </w:r>
      <w:proofErr w:type="gramEnd"/>
      <w:r w:rsidRPr="00DE4CA3">
        <w:rPr>
          <w:rFonts w:ascii="Arial" w:hAnsi="Arial" w:cs="Arial"/>
          <w:sz w:val="16"/>
          <w:szCs w:val="16"/>
        </w:rPr>
        <w:t xml:space="preserve"> comparison of liver homogenate levels of TG. Note: Data were given as mean ± SEM. </w:t>
      </w:r>
      <w:r w:rsidRPr="00DE4CA3">
        <w:rPr>
          <w:rFonts w:ascii="Arial" w:hAnsi="Arial" w:cs="Arial"/>
          <w:i/>
          <w:iCs/>
          <w:sz w:val="16"/>
          <w:szCs w:val="16"/>
        </w:rPr>
        <w:t>n</w:t>
      </w:r>
      <w:r w:rsidRPr="00DE4CA3">
        <w:rPr>
          <w:rFonts w:ascii="Arial" w:hAnsi="Arial" w:cs="Arial"/>
          <w:sz w:val="16"/>
          <w:szCs w:val="16"/>
        </w:rPr>
        <w:t xml:space="preserve">: a-d, Co-WT, </w:t>
      </w:r>
      <w:r w:rsidRPr="00DE4CA3">
        <w:rPr>
          <w:rFonts w:ascii="Arial" w:hAnsi="Arial" w:cs="Arial"/>
          <w:i/>
          <w:iCs/>
          <w:sz w:val="16"/>
          <w:szCs w:val="16"/>
        </w:rPr>
        <w:t xml:space="preserve">n </w:t>
      </w:r>
      <w:r w:rsidRPr="00DE4CA3">
        <w:rPr>
          <w:rFonts w:ascii="Arial" w:hAnsi="Arial" w:cs="Arial"/>
          <w:sz w:val="16"/>
          <w:szCs w:val="16"/>
        </w:rPr>
        <w:t>= 3 and Co-CB2R</w:t>
      </w:r>
      <w:r w:rsidRPr="00DE4CA3">
        <w:rPr>
          <w:rFonts w:ascii="Arial" w:hAnsi="Arial" w:cs="Arial"/>
          <w:sz w:val="16"/>
          <w:szCs w:val="16"/>
          <w:vertAlign w:val="superscript"/>
        </w:rPr>
        <w:t>-/-</w:t>
      </w:r>
      <w:r w:rsidRPr="00DE4CA3">
        <w:rPr>
          <w:rFonts w:ascii="Arial" w:hAnsi="Arial" w:cs="Arial"/>
          <w:sz w:val="16"/>
          <w:szCs w:val="16"/>
        </w:rPr>
        <w:t xml:space="preserve">, </w:t>
      </w:r>
      <w:r w:rsidRPr="00DE4CA3">
        <w:rPr>
          <w:rFonts w:ascii="Arial" w:hAnsi="Arial" w:cs="Arial"/>
          <w:i/>
          <w:iCs/>
          <w:sz w:val="16"/>
          <w:szCs w:val="16"/>
        </w:rPr>
        <w:t>n</w:t>
      </w:r>
      <w:r w:rsidRPr="00DE4CA3">
        <w:rPr>
          <w:rFonts w:ascii="Arial" w:hAnsi="Arial" w:cs="Arial"/>
          <w:sz w:val="16"/>
          <w:szCs w:val="16"/>
        </w:rPr>
        <w:t xml:space="preserve"> = 5. *</w:t>
      </w:r>
      <w:r w:rsidRPr="00DE4CA3">
        <w:rPr>
          <w:rFonts w:ascii="Arial" w:hAnsi="Arial" w:cs="Arial"/>
          <w:i/>
          <w:iCs/>
          <w:sz w:val="16"/>
          <w:szCs w:val="16"/>
        </w:rPr>
        <w:t>P</w:t>
      </w:r>
      <w:r w:rsidRPr="00DE4CA3">
        <w:rPr>
          <w:rFonts w:ascii="Arial" w:hAnsi="Arial" w:cs="Arial"/>
          <w:sz w:val="16"/>
          <w:szCs w:val="16"/>
        </w:rPr>
        <w:t xml:space="preserve"> &lt; 0.05; **</w:t>
      </w:r>
      <w:r w:rsidRPr="00DE4CA3">
        <w:rPr>
          <w:rFonts w:ascii="Arial" w:hAnsi="Arial" w:cs="Arial"/>
          <w:i/>
          <w:iCs/>
          <w:sz w:val="16"/>
          <w:szCs w:val="16"/>
        </w:rPr>
        <w:t>P</w:t>
      </w:r>
      <w:r w:rsidRPr="00DE4CA3">
        <w:rPr>
          <w:rFonts w:ascii="Arial" w:hAnsi="Arial" w:cs="Arial"/>
          <w:sz w:val="16"/>
          <w:szCs w:val="16"/>
        </w:rPr>
        <w:t xml:space="preserve"> &lt; 0.01; ns, no significance.</w:t>
      </w:r>
    </w:p>
    <w:p w14:paraId="3641DDFA" w14:textId="77777777" w:rsidR="00C47298" w:rsidRPr="00DE4CA3" w:rsidRDefault="00C47298" w:rsidP="00DE4CA3">
      <w:pPr>
        <w:adjustRightInd w:val="0"/>
        <w:snapToGrid w:val="0"/>
        <w:spacing w:line="480" w:lineRule="auto"/>
        <w:rPr>
          <w:rFonts w:ascii="Arial" w:hAnsi="Arial" w:cs="Arial"/>
          <w:sz w:val="16"/>
          <w:szCs w:val="16"/>
        </w:rPr>
      </w:pPr>
    </w:p>
    <w:p w14:paraId="17ED8D87" w14:textId="77777777" w:rsidR="00C47298" w:rsidRPr="00DE4CA3" w:rsidRDefault="00C47298" w:rsidP="00DE4CA3">
      <w:pPr>
        <w:adjustRightInd w:val="0"/>
        <w:snapToGrid w:val="0"/>
        <w:spacing w:line="480" w:lineRule="auto"/>
        <w:rPr>
          <w:rFonts w:ascii="Arial" w:hAnsi="Arial" w:cs="Arial"/>
          <w:sz w:val="16"/>
          <w:szCs w:val="16"/>
        </w:rPr>
      </w:pPr>
      <w:r w:rsidRPr="00DE4CA3">
        <w:rPr>
          <w:rFonts w:ascii="Arial" w:hAnsi="Arial" w:cs="Arial"/>
          <w:b/>
          <w:bCs/>
          <w:sz w:val="16"/>
          <w:szCs w:val="16"/>
        </w:rPr>
        <w:t xml:space="preserve">Supplementary Figure s7. </w:t>
      </w:r>
      <w:proofErr w:type="spellStart"/>
      <w:r w:rsidRPr="00DE4CA3">
        <w:rPr>
          <w:rFonts w:ascii="Arial" w:hAnsi="Arial" w:cs="Arial"/>
          <w:b/>
          <w:bCs/>
          <w:sz w:val="16"/>
          <w:szCs w:val="16"/>
        </w:rPr>
        <w:t>LEfSe</w:t>
      </w:r>
      <w:proofErr w:type="spellEnd"/>
      <w:r w:rsidRPr="00DE4CA3">
        <w:rPr>
          <w:rFonts w:ascii="Arial" w:hAnsi="Arial" w:cs="Arial"/>
          <w:b/>
          <w:bCs/>
          <w:sz w:val="16"/>
          <w:szCs w:val="16"/>
        </w:rPr>
        <w:t xml:space="preserve"> analysis between WT NAFLD model mice and WT mice with NCD, and CB2R</w:t>
      </w:r>
      <w:r w:rsidRPr="00DE4CA3">
        <w:rPr>
          <w:rFonts w:ascii="Arial" w:hAnsi="Arial" w:cs="Arial"/>
          <w:b/>
          <w:bCs/>
          <w:sz w:val="16"/>
          <w:szCs w:val="16"/>
          <w:vertAlign w:val="superscript"/>
        </w:rPr>
        <w:t xml:space="preserve">-/- </w:t>
      </w:r>
      <w:r w:rsidRPr="00DE4CA3">
        <w:rPr>
          <w:rFonts w:ascii="Arial" w:hAnsi="Arial" w:cs="Arial"/>
          <w:b/>
          <w:bCs/>
          <w:sz w:val="16"/>
          <w:szCs w:val="16"/>
        </w:rPr>
        <w:t xml:space="preserve">mice with NCD and WT NAFLD model mice. </w:t>
      </w:r>
      <w:r w:rsidRPr="00DE4CA3">
        <w:rPr>
          <w:rFonts w:ascii="Arial" w:hAnsi="Arial" w:cs="Arial"/>
          <w:sz w:val="16"/>
          <w:szCs w:val="16"/>
        </w:rPr>
        <w:t>Abbreviations: NAFLD, nonalcoholic fatty liver disease.</w:t>
      </w:r>
    </w:p>
    <w:p w14:paraId="0F5B2606" w14:textId="77777777" w:rsidR="00C47298" w:rsidRPr="00DE4CA3" w:rsidRDefault="00C47298" w:rsidP="00DE4CA3">
      <w:pPr>
        <w:adjustRightInd w:val="0"/>
        <w:snapToGrid w:val="0"/>
        <w:spacing w:line="480" w:lineRule="auto"/>
        <w:rPr>
          <w:rFonts w:ascii="Arial" w:hAnsi="Arial" w:cs="Arial"/>
          <w:sz w:val="16"/>
          <w:szCs w:val="16"/>
        </w:rPr>
      </w:pPr>
    </w:p>
    <w:p w14:paraId="36CE6D93" w14:textId="77777777" w:rsidR="00C47298" w:rsidRPr="00DE4CA3" w:rsidRDefault="00C47298" w:rsidP="00DE4CA3">
      <w:pPr>
        <w:adjustRightInd w:val="0"/>
        <w:snapToGrid w:val="0"/>
        <w:spacing w:line="480" w:lineRule="auto"/>
        <w:rPr>
          <w:rFonts w:ascii="Arial" w:hAnsi="Arial" w:cs="Arial"/>
          <w:b/>
          <w:bCs/>
          <w:sz w:val="16"/>
          <w:szCs w:val="16"/>
        </w:rPr>
      </w:pPr>
      <w:r w:rsidRPr="00DE4CA3">
        <w:rPr>
          <w:rFonts w:ascii="Arial" w:hAnsi="Arial" w:cs="Arial"/>
          <w:b/>
          <w:bCs/>
          <w:sz w:val="16"/>
          <w:szCs w:val="16"/>
        </w:rPr>
        <w:t>Table legends</w:t>
      </w:r>
    </w:p>
    <w:p w14:paraId="652FFDEB" w14:textId="61367386" w:rsidR="00135305" w:rsidRDefault="00976143" w:rsidP="00DE4CA3">
      <w:pPr>
        <w:adjustRightInd w:val="0"/>
        <w:snapToGrid w:val="0"/>
        <w:spacing w:line="480" w:lineRule="auto"/>
      </w:pPr>
      <w:r w:rsidRPr="00DE4CA3">
        <w:rPr>
          <w:rFonts w:ascii="Arial" w:hAnsi="Arial" w:cs="Arial"/>
          <w:b/>
          <w:bCs/>
          <w:sz w:val="16"/>
          <w:szCs w:val="16"/>
          <w:lang w:bidi="en-US"/>
        </w:rPr>
        <w:t xml:space="preserve">Supplementary </w:t>
      </w:r>
      <w:r w:rsidR="00C47298" w:rsidRPr="00DE4CA3">
        <w:rPr>
          <w:rFonts w:ascii="Arial" w:hAnsi="Arial" w:cs="Arial" w:hint="eastAsia"/>
          <w:b/>
          <w:bCs/>
          <w:sz w:val="16"/>
          <w:szCs w:val="16"/>
          <w:lang w:bidi="en-US"/>
        </w:rPr>
        <w:t>T</w:t>
      </w:r>
      <w:r w:rsidR="00C47298" w:rsidRPr="00DE4CA3">
        <w:rPr>
          <w:rFonts w:ascii="Arial" w:hAnsi="Arial" w:cs="Arial"/>
          <w:b/>
          <w:bCs/>
          <w:sz w:val="16"/>
          <w:szCs w:val="16"/>
          <w:lang w:bidi="en-US"/>
        </w:rPr>
        <w:t>able s1. Baseline characteristics of patients.</w:t>
      </w:r>
      <w:r w:rsidR="00C47298" w:rsidRPr="00DE4CA3">
        <w:rPr>
          <w:rFonts w:ascii="Arial" w:hAnsi="Arial" w:cs="Arial"/>
          <w:sz w:val="16"/>
          <w:szCs w:val="16"/>
          <w:lang w:bidi="en-US"/>
        </w:rPr>
        <w:t xml:space="preserve"> Abbreviations: HC, healthy control, NAFLD, nonalcoholic fatty liver disease, BMI, body mass index; ALT, alanine transaminase; AST, aspartate transferase; LDL, low-density lipoprotein; HDL, high-density lipoprotein; SEM, standard error of mean.</w:t>
      </w:r>
    </w:p>
    <w:sectPr w:rsidR="001353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7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imSun-ExtB">
    <w:panose1 w:val="02010609060101010101"/>
    <w:charset w:val="86"/>
    <w:family w:val="modern"/>
    <w:pitch w:val="fixed"/>
    <w:sig w:usb0="00000003" w:usb1="0A0E0000" w:usb2="00000010" w:usb3="00000000" w:csb0="0004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957E7"/>
    <w:multiLevelType w:val="multilevel"/>
    <w:tmpl w:val="14488CA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61027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98"/>
    <w:rsid w:val="00016E7B"/>
    <w:rsid w:val="00027942"/>
    <w:rsid w:val="000D3817"/>
    <w:rsid w:val="000D5AC3"/>
    <w:rsid w:val="000E2196"/>
    <w:rsid w:val="000F3777"/>
    <w:rsid w:val="00135305"/>
    <w:rsid w:val="00176309"/>
    <w:rsid w:val="001931E3"/>
    <w:rsid w:val="001A4403"/>
    <w:rsid w:val="001C139D"/>
    <w:rsid w:val="001C1567"/>
    <w:rsid w:val="001D1402"/>
    <w:rsid w:val="001E3FE4"/>
    <w:rsid w:val="001F02DB"/>
    <w:rsid w:val="001F7FAA"/>
    <w:rsid w:val="0020790F"/>
    <w:rsid w:val="0021686F"/>
    <w:rsid w:val="00233C47"/>
    <w:rsid w:val="002357B9"/>
    <w:rsid w:val="00237D9A"/>
    <w:rsid w:val="002449CC"/>
    <w:rsid w:val="002574A0"/>
    <w:rsid w:val="00286003"/>
    <w:rsid w:val="002C48F3"/>
    <w:rsid w:val="002D30B1"/>
    <w:rsid w:val="002E05B5"/>
    <w:rsid w:val="00320575"/>
    <w:rsid w:val="00323BF6"/>
    <w:rsid w:val="00337A1B"/>
    <w:rsid w:val="00350462"/>
    <w:rsid w:val="00367DF1"/>
    <w:rsid w:val="00396304"/>
    <w:rsid w:val="003A5053"/>
    <w:rsid w:val="003B5DF6"/>
    <w:rsid w:val="003C00D8"/>
    <w:rsid w:val="003D6FE3"/>
    <w:rsid w:val="003D775A"/>
    <w:rsid w:val="003E20C3"/>
    <w:rsid w:val="00403708"/>
    <w:rsid w:val="00405DC2"/>
    <w:rsid w:val="00427AAB"/>
    <w:rsid w:val="004305CE"/>
    <w:rsid w:val="00436A31"/>
    <w:rsid w:val="00441499"/>
    <w:rsid w:val="00444374"/>
    <w:rsid w:val="0045499E"/>
    <w:rsid w:val="004661A7"/>
    <w:rsid w:val="004778C5"/>
    <w:rsid w:val="00484A8C"/>
    <w:rsid w:val="004A407F"/>
    <w:rsid w:val="004C100E"/>
    <w:rsid w:val="004C2065"/>
    <w:rsid w:val="004D29F6"/>
    <w:rsid w:val="004E5C9B"/>
    <w:rsid w:val="004E6634"/>
    <w:rsid w:val="00500EC7"/>
    <w:rsid w:val="0053759C"/>
    <w:rsid w:val="00565E11"/>
    <w:rsid w:val="005A1044"/>
    <w:rsid w:val="005A3F43"/>
    <w:rsid w:val="005A6E17"/>
    <w:rsid w:val="005B3572"/>
    <w:rsid w:val="005F688F"/>
    <w:rsid w:val="00600C66"/>
    <w:rsid w:val="00622465"/>
    <w:rsid w:val="00644F62"/>
    <w:rsid w:val="00670913"/>
    <w:rsid w:val="00670983"/>
    <w:rsid w:val="006848E8"/>
    <w:rsid w:val="006C5929"/>
    <w:rsid w:val="006F0617"/>
    <w:rsid w:val="007052D1"/>
    <w:rsid w:val="00724EB9"/>
    <w:rsid w:val="007431F0"/>
    <w:rsid w:val="007614A2"/>
    <w:rsid w:val="00771FF0"/>
    <w:rsid w:val="007966A3"/>
    <w:rsid w:val="007A3718"/>
    <w:rsid w:val="007B04E1"/>
    <w:rsid w:val="007C0226"/>
    <w:rsid w:val="007D4E47"/>
    <w:rsid w:val="007E5AB0"/>
    <w:rsid w:val="007E74A9"/>
    <w:rsid w:val="007F2314"/>
    <w:rsid w:val="007F52A7"/>
    <w:rsid w:val="008461F8"/>
    <w:rsid w:val="008646F8"/>
    <w:rsid w:val="00870A49"/>
    <w:rsid w:val="008A0B51"/>
    <w:rsid w:val="008B3603"/>
    <w:rsid w:val="008E1B41"/>
    <w:rsid w:val="008E60EB"/>
    <w:rsid w:val="00900036"/>
    <w:rsid w:val="0094108E"/>
    <w:rsid w:val="00944562"/>
    <w:rsid w:val="0096282A"/>
    <w:rsid w:val="00976143"/>
    <w:rsid w:val="00996D6C"/>
    <w:rsid w:val="00A241F5"/>
    <w:rsid w:val="00A9073C"/>
    <w:rsid w:val="00A96005"/>
    <w:rsid w:val="00AA67B5"/>
    <w:rsid w:val="00B11CE5"/>
    <w:rsid w:val="00B1568A"/>
    <w:rsid w:val="00B17BEC"/>
    <w:rsid w:val="00B508DF"/>
    <w:rsid w:val="00B72689"/>
    <w:rsid w:val="00BC16CB"/>
    <w:rsid w:val="00C06AAD"/>
    <w:rsid w:val="00C26290"/>
    <w:rsid w:val="00C3269E"/>
    <w:rsid w:val="00C41325"/>
    <w:rsid w:val="00C47298"/>
    <w:rsid w:val="00C64A9F"/>
    <w:rsid w:val="00C64C0D"/>
    <w:rsid w:val="00C85C21"/>
    <w:rsid w:val="00C86BF4"/>
    <w:rsid w:val="00C87460"/>
    <w:rsid w:val="00C87B90"/>
    <w:rsid w:val="00CE6F97"/>
    <w:rsid w:val="00CE718C"/>
    <w:rsid w:val="00D41953"/>
    <w:rsid w:val="00D5537D"/>
    <w:rsid w:val="00DA5E2A"/>
    <w:rsid w:val="00DE4CA3"/>
    <w:rsid w:val="00E00273"/>
    <w:rsid w:val="00E0477F"/>
    <w:rsid w:val="00E60187"/>
    <w:rsid w:val="00EB229A"/>
    <w:rsid w:val="00EC0666"/>
    <w:rsid w:val="00F03180"/>
    <w:rsid w:val="00F105B0"/>
    <w:rsid w:val="00F317CB"/>
    <w:rsid w:val="00F540F2"/>
    <w:rsid w:val="00F614CE"/>
    <w:rsid w:val="00F67F59"/>
    <w:rsid w:val="00F841CF"/>
    <w:rsid w:val="00F87756"/>
    <w:rsid w:val="00FB428E"/>
    <w:rsid w:val="00FE1D62"/>
    <w:rsid w:val="00FF51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2C69E30"/>
  <w15:chartTrackingRefBased/>
  <w15:docId w15:val="{1C4D7EB8-354F-7A4F-A906-D8D02526F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7298"/>
    <w:pPr>
      <w:widowControl w:val="0"/>
      <w:jc w:val="both"/>
    </w:pPr>
  </w:style>
  <w:style w:type="paragraph" w:styleId="1">
    <w:name w:val="heading 1"/>
    <w:basedOn w:val="a"/>
    <w:next w:val="a"/>
    <w:link w:val="10"/>
    <w:uiPriority w:val="9"/>
    <w:qFormat/>
    <w:rsid w:val="00C4729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4729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4729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4729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4729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4729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4729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4729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4729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CE6F97"/>
    <w:pPr>
      <w:jc w:val="both"/>
    </w:pPr>
    <w:rPr>
      <w:rFonts w:eastAsia="SimSun-ExtB"/>
      <w:color w:val="000000" w:themeColor="text1"/>
    </w:rPr>
    <w:tblPr>
      <w:tblBorders>
        <w:top w:val="single" w:sz="12" w:space="0" w:color="auto"/>
        <w:bottom w:val="single" w:sz="12" w:space="0" w:color="auto"/>
      </w:tblBorders>
    </w:tblPr>
    <w:tcPr>
      <w:vAlign w:val="center"/>
    </w:tcPr>
    <w:tblStylePr w:type="firstRow">
      <w:pPr>
        <w:jc w:val="center"/>
      </w:pPr>
      <w:rPr>
        <w:rFonts w:eastAsia="SimSun-ExtB"/>
      </w:rPr>
      <w:tblPr/>
      <w:tcPr>
        <w:tcBorders>
          <w:bottom w:val="nil"/>
        </w:tcBorders>
      </w:tcPr>
    </w:tblStylePr>
  </w:style>
  <w:style w:type="character" w:customStyle="1" w:styleId="10">
    <w:name w:val="标题 1 字符"/>
    <w:basedOn w:val="a0"/>
    <w:link w:val="1"/>
    <w:uiPriority w:val="9"/>
    <w:rsid w:val="00C4729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4729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4729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47298"/>
    <w:rPr>
      <w:rFonts w:cstheme="majorBidi"/>
      <w:color w:val="0F4761" w:themeColor="accent1" w:themeShade="BF"/>
      <w:sz w:val="28"/>
      <w:szCs w:val="28"/>
    </w:rPr>
  </w:style>
  <w:style w:type="character" w:customStyle="1" w:styleId="50">
    <w:name w:val="标题 5 字符"/>
    <w:basedOn w:val="a0"/>
    <w:link w:val="5"/>
    <w:uiPriority w:val="9"/>
    <w:semiHidden/>
    <w:rsid w:val="00C47298"/>
    <w:rPr>
      <w:rFonts w:cstheme="majorBidi"/>
      <w:color w:val="0F4761" w:themeColor="accent1" w:themeShade="BF"/>
      <w:sz w:val="24"/>
    </w:rPr>
  </w:style>
  <w:style w:type="character" w:customStyle="1" w:styleId="60">
    <w:name w:val="标题 6 字符"/>
    <w:basedOn w:val="a0"/>
    <w:link w:val="6"/>
    <w:uiPriority w:val="9"/>
    <w:semiHidden/>
    <w:rsid w:val="00C47298"/>
    <w:rPr>
      <w:rFonts w:cstheme="majorBidi"/>
      <w:b/>
      <w:bCs/>
      <w:color w:val="0F4761" w:themeColor="accent1" w:themeShade="BF"/>
    </w:rPr>
  </w:style>
  <w:style w:type="character" w:customStyle="1" w:styleId="70">
    <w:name w:val="标题 7 字符"/>
    <w:basedOn w:val="a0"/>
    <w:link w:val="7"/>
    <w:uiPriority w:val="9"/>
    <w:semiHidden/>
    <w:rsid w:val="00C47298"/>
    <w:rPr>
      <w:rFonts w:cstheme="majorBidi"/>
      <w:b/>
      <w:bCs/>
      <w:color w:val="595959" w:themeColor="text1" w:themeTint="A6"/>
    </w:rPr>
  </w:style>
  <w:style w:type="character" w:customStyle="1" w:styleId="80">
    <w:name w:val="标题 8 字符"/>
    <w:basedOn w:val="a0"/>
    <w:link w:val="8"/>
    <w:uiPriority w:val="9"/>
    <w:semiHidden/>
    <w:rsid w:val="00C47298"/>
    <w:rPr>
      <w:rFonts w:cstheme="majorBidi"/>
      <w:color w:val="595959" w:themeColor="text1" w:themeTint="A6"/>
    </w:rPr>
  </w:style>
  <w:style w:type="character" w:customStyle="1" w:styleId="90">
    <w:name w:val="标题 9 字符"/>
    <w:basedOn w:val="a0"/>
    <w:link w:val="9"/>
    <w:uiPriority w:val="9"/>
    <w:semiHidden/>
    <w:rsid w:val="00C47298"/>
    <w:rPr>
      <w:rFonts w:eastAsiaTheme="majorEastAsia" w:cstheme="majorBidi"/>
      <w:color w:val="595959" w:themeColor="text1" w:themeTint="A6"/>
    </w:rPr>
  </w:style>
  <w:style w:type="paragraph" w:styleId="a4">
    <w:name w:val="Title"/>
    <w:basedOn w:val="a"/>
    <w:next w:val="a"/>
    <w:link w:val="a5"/>
    <w:uiPriority w:val="10"/>
    <w:qFormat/>
    <w:rsid w:val="00C47298"/>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C47298"/>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C472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C47298"/>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C47298"/>
    <w:pPr>
      <w:spacing w:before="160" w:after="160"/>
      <w:jc w:val="center"/>
    </w:pPr>
    <w:rPr>
      <w:i/>
      <w:iCs/>
      <w:color w:val="404040" w:themeColor="text1" w:themeTint="BF"/>
    </w:rPr>
  </w:style>
  <w:style w:type="character" w:customStyle="1" w:styleId="a9">
    <w:name w:val="引用 字符"/>
    <w:basedOn w:val="a0"/>
    <w:link w:val="a8"/>
    <w:uiPriority w:val="29"/>
    <w:rsid w:val="00C47298"/>
    <w:rPr>
      <w:i/>
      <w:iCs/>
      <w:color w:val="404040" w:themeColor="text1" w:themeTint="BF"/>
    </w:rPr>
  </w:style>
  <w:style w:type="paragraph" w:styleId="aa">
    <w:name w:val="List Paragraph"/>
    <w:basedOn w:val="a"/>
    <w:uiPriority w:val="34"/>
    <w:qFormat/>
    <w:rsid w:val="00C47298"/>
    <w:pPr>
      <w:ind w:left="720"/>
      <w:contextualSpacing/>
    </w:pPr>
  </w:style>
  <w:style w:type="character" w:styleId="ab">
    <w:name w:val="Intense Emphasis"/>
    <w:basedOn w:val="a0"/>
    <w:uiPriority w:val="21"/>
    <w:qFormat/>
    <w:rsid w:val="00C47298"/>
    <w:rPr>
      <w:i/>
      <w:iCs/>
      <w:color w:val="0F4761" w:themeColor="accent1" w:themeShade="BF"/>
    </w:rPr>
  </w:style>
  <w:style w:type="paragraph" w:styleId="ac">
    <w:name w:val="Intense Quote"/>
    <w:basedOn w:val="a"/>
    <w:next w:val="a"/>
    <w:link w:val="ad"/>
    <w:uiPriority w:val="30"/>
    <w:qFormat/>
    <w:rsid w:val="00C47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C47298"/>
    <w:rPr>
      <w:i/>
      <w:iCs/>
      <w:color w:val="0F4761" w:themeColor="accent1" w:themeShade="BF"/>
    </w:rPr>
  </w:style>
  <w:style w:type="character" w:styleId="ae">
    <w:name w:val="Intense Reference"/>
    <w:basedOn w:val="a0"/>
    <w:uiPriority w:val="32"/>
    <w:qFormat/>
    <w:rsid w:val="00C472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1079</Words>
  <Characters>6153</Characters>
  <Application>Microsoft Office Word</Application>
  <DocSecurity>0</DocSecurity>
  <Lines>51</Lines>
  <Paragraphs>14</Paragraphs>
  <ScaleCrop>false</ScaleCrop>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苇婷 成</dc:creator>
  <cp:keywords/>
  <dc:description/>
  <cp:lastModifiedBy>苇婷 成</cp:lastModifiedBy>
  <cp:revision>3</cp:revision>
  <dcterms:created xsi:type="dcterms:W3CDTF">2025-01-19T13:10:00Z</dcterms:created>
  <dcterms:modified xsi:type="dcterms:W3CDTF">2025-01-21T04:47:00Z</dcterms:modified>
</cp:coreProperties>
</file>