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685C0" w14:textId="77777777" w:rsidR="00E061F4" w:rsidRPr="0005219B" w:rsidRDefault="00000000">
      <w:pPr>
        <w:pStyle w:val="Title"/>
        <w:jc w:val="center"/>
        <w:rPr>
          <w:lang w:val="en-US"/>
        </w:rPr>
      </w:pPr>
      <w:r w:rsidRPr="0005219B">
        <w:rPr>
          <w:lang w:val="en-US"/>
        </w:rPr>
        <w:t>Supplement 3: Details of Metrics and SHAP Values Calculations</w:t>
      </w:r>
    </w:p>
    <w:p w14:paraId="1CF5F16A" w14:textId="77777777" w:rsidR="00E061F4" w:rsidRPr="0005219B" w:rsidRDefault="00E061F4">
      <w:pPr>
        <w:rPr>
          <w:lang w:val="en-US"/>
        </w:rPr>
      </w:pPr>
    </w:p>
    <w:sdt>
      <w:sdtPr>
        <w:rPr>
          <w:rFonts w:asciiTheme="minorHAnsi" w:eastAsiaTheme="minorEastAsia" w:hAnsiTheme="minorHAnsi" w:cstheme="minorBidi"/>
          <w:b w:val="0"/>
          <w:bCs w:val="0"/>
          <w:color w:val="000000" w:themeColor="text1"/>
          <w:kern w:val="2"/>
          <w:sz w:val="24"/>
          <w:szCs w:val="24"/>
          <w:lang w:val="zh-CN" w:eastAsia="zh-CN"/>
          <w14:ligatures w14:val="standardContextual"/>
        </w:rPr>
        <w:id w:val="-1"/>
        <w:docPartObj>
          <w:docPartGallery w:val="Table of Contents"/>
          <w:docPartUnique/>
        </w:docPartObj>
      </w:sdtPr>
      <w:sdtContent>
        <w:p w14:paraId="223B411B" w14:textId="77777777" w:rsidR="00E061F4" w:rsidRDefault="00000000">
          <w:pPr>
            <w:pStyle w:val="TOCHeading1"/>
            <w:rPr>
              <w:color w:val="000000" w:themeColor="text1"/>
            </w:rPr>
          </w:pPr>
          <w:r>
            <w:rPr>
              <w:color w:val="000000" w:themeColor="text1"/>
            </w:rPr>
            <w:t>Table of Contents</w:t>
          </w:r>
        </w:p>
        <w:p w14:paraId="563D7B3B" w14:textId="77777777" w:rsidR="00E061F4" w:rsidRDefault="00000000">
          <w:pPr>
            <w:pStyle w:val="TOC1"/>
            <w:tabs>
              <w:tab w:val="right" w:leader="dot" w:pos="9350"/>
            </w:tabs>
            <w:rPr>
              <w:color w:val="000000" w:themeColor="text1"/>
            </w:rPr>
          </w:pPr>
          <w:r>
            <w:rPr>
              <w:b w:val="0"/>
              <w:bCs w:val="0"/>
              <w:color w:val="000000" w:themeColor="text1"/>
            </w:rPr>
            <w:fldChar w:fldCharType="begin"/>
          </w:r>
          <w:r>
            <w:rPr>
              <w:color w:val="000000" w:themeColor="text1"/>
            </w:rPr>
            <w:instrText xml:space="preserve"> TOC \o "1-3" \h \z \u </w:instrText>
          </w:r>
          <w:r>
            <w:rPr>
              <w:b w:val="0"/>
              <w:bCs w:val="0"/>
              <w:color w:val="000000" w:themeColor="text1"/>
            </w:rPr>
            <w:fldChar w:fldCharType="separate"/>
          </w:r>
          <w:hyperlink w:anchor="_Toc146754204" w:history="1">
            <w:r>
              <w:rPr>
                <w:rStyle w:val="Hyperlink"/>
                <w:color w:val="000000" w:themeColor="text1"/>
              </w:rPr>
              <w:t>I. The definitions and calculations of each model performance evaluation metrics</w:t>
            </w:r>
            <w:r>
              <w:rPr>
                <w:color w:val="000000" w:themeColor="text1"/>
              </w:rPr>
              <w:tab/>
            </w:r>
            <w:r>
              <w:rPr>
                <w:color w:val="000000" w:themeColor="text1"/>
              </w:rPr>
              <w:fldChar w:fldCharType="begin"/>
            </w:r>
            <w:r>
              <w:rPr>
                <w:color w:val="000000" w:themeColor="text1"/>
              </w:rPr>
              <w:instrText xml:space="preserve"> PAGEREF _Toc146754204 \h </w:instrText>
            </w:r>
            <w:r>
              <w:rPr>
                <w:color w:val="000000" w:themeColor="text1"/>
              </w:rPr>
            </w:r>
            <w:r>
              <w:rPr>
                <w:color w:val="000000" w:themeColor="text1"/>
              </w:rPr>
              <w:fldChar w:fldCharType="separate"/>
            </w:r>
            <w:r>
              <w:rPr>
                <w:color w:val="000000" w:themeColor="text1"/>
              </w:rPr>
              <w:t>1</w:t>
            </w:r>
            <w:r>
              <w:rPr>
                <w:color w:val="000000" w:themeColor="text1"/>
              </w:rPr>
              <w:fldChar w:fldCharType="end"/>
            </w:r>
          </w:hyperlink>
        </w:p>
        <w:p w14:paraId="0FAD58C8" w14:textId="77777777" w:rsidR="00E061F4" w:rsidRDefault="00000000">
          <w:pPr>
            <w:pStyle w:val="TOC1"/>
            <w:tabs>
              <w:tab w:val="right" w:leader="dot" w:pos="9350"/>
            </w:tabs>
            <w:rPr>
              <w:color w:val="000000" w:themeColor="text1"/>
            </w:rPr>
          </w:pPr>
          <w:hyperlink w:anchor="_Toc146754205" w:history="1">
            <w:r>
              <w:rPr>
                <w:rStyle w:val="Hyperlink"/>
                <w:color w:val="000000" w:themeColor="text1"/>
              </w:rPr>
              <w:t>II. The calculations of SHAP values</w:t>
            </w:r>
            <w:r>
              <w:rPr>
                <w:color w:val="000000" w:themeColor="text1"/>
              </w:rPr>
              <w:tab/>
            </w:r>
            <w:r>
              <w:rPr>
                <w:color w:val="000000" w:themeColor="text1"/>
              </w:rPr>
              <w:fldChar w:fldCharType="begin"/>
            </w:r>
            <w:r>
              <w:rPr>
                <w:color w:val="000000" w:themeColor="text1"/>
              </w:rPr>
              <w:instrText xml:space="preserve"> PAGEREF _Toc146754205 \h </w:instrText>
            </w:r>
            <w:r>
              <w:rPr>
                <w:color w:val="000000" w:themeColor="text1"/>
              </w:rPr>
            </w:r>
            <w:r>
              <w:rPr>
                <w:color w:val="000000" w:themeColor="text1"/>
              </w:rPr>
              <w:fldChar w:fldCharType="separate"/>
            </w:r>
            <w:r>
              <w:rPr>
                <w:color w:val="000000" w:themeColor="text1"/>
              </w:rPr>
              <w:t>2</w:t>
            </w:r>
            <w:r>
              <w:rPr>
                <w:color w:val="000000" w:themeColor="text1"/>
              </w:rPr>
              <w:fldChar w:fldCharType="end"/>
            </w:r>
          </w:hyperlink>
        </w:p>
        <w:p w14:paraId="0833BC0A" w14:textId="77777777" w:rsidR="00E061F4" w:rsidRDefault="00000000">
          <w:pPr>
            <w:rPr>
              <w:color w:val="000000" w:themeColor="text1"/>
            </w:rPr>
          </w:pPr>
          <w:r>
            <w:rPr>
              <w:b/>
              <w:bCs/>
              <w:color w:val="000000" w:themeColor="text1"/>
            </w:rPr>
            <w:fldChar w:fldCharType="end"/>
          </w:r>
        </w:p>
      </w:sdtContent>
    </w:sdt>
    <w:p w14:paraId="43C174C5" w14:textId="77777777" w:rsidR="00E061F4" w:rsidRDefault="00E061F4">
      <w:pPr>
        <w:pStyle w:val="Heading1"/>
        <w:spacing w:after="240"/>
        <w:rPr>
          <w:b/>
          <w:bCs/>
          <w:color w:val="000000" w:themeColor="text1"/>
        </w:rPr>
      </w:pPr>
    </w:p>
    <w:p w14:paraId="6FA978B0" w14:textId="77777777" w:rsidR="00E061F4" w:rsidRDefault="00000000">
      <w:pPr>
        <w:pStyle w:val="Heading1"/>
        <w:spacing w:after="240"/>
        <w:rPr>
          <w:b/>
          <w:bCs/>
          <w:color w:val="000000" w:themeColor="text1"/>
        </w:rPr>
      </w:pPr>
      <w:bookmarkStart w:id="0" w:name="_Toc146754204"/>
      <w:r>
        <w:rPr>
          <w:b/>
          <w:bCs/>
          <w:color w:val="000000" w:themeColor="text1"/>
        </w:rPr>
        <w:t xml:space="preserve">I. The definitions and </w:t>
      </w:r>
      <w:r>
        <w:rPr>
          <w:rFonts w:hint="eastAsia"/>
          <w:b/>
          <w:bCs/>
          <w:color w:val="000000" w:themeColor="text1"/>
        </w:rPr>
        <w:t>calculations</w:t>
      </w:r>
      <w:r>
        <w:rPr>
          <w:b/>
          <w:bCs/>
          <w:color w:val="000000" w:themeColor="text1"/>
        </w:rPr>
        <w:t xml:space="preserve"> of each model performance evaluation metrics</w:t>
      </w:r>
      <w:bookmarkEnd w:id="0"/>
    </w:p>
    <w:p w14:paraId="5387F0F2" w14:textId="77777777" w:rsidR="00E061F4" w:rsidRPr="0005219B" w:rsidRDefault="00E061F4">
      <w:pPr>
        <w:rPr>
          <w:lang w:val="en-US"/>
        </w:rPr>
      </w:pPr>
    </w:p>
    <w:p w14:paraId="21335B3E" w14:textId="77777777" w:rsidR="00E061F4" w:rsidRPr="0005219B" w:rsidRDefault="00000000">
      <w:pPr>
        <w:spacing w:line="480" w:lineRule="auto"/>
        <w:rPr>
          <w:rFonts w:ascii="Times New Roman" w:hAnsi="Times New Roman" w:cs="Times New Roman"/>
          <w:lang w:val="en-US"/>
        </w:rPr>
      </w:pPr>
      <w:r w:rsidRPr="0005219B">
        <w:rPr>
          <w:rFonts w:ascii="Times New Roman" w:hAnsi="Times New Roman" w:cs="Times New Roman"/>
          <w:lang w:val="en-US"/>
        </w:rPr>
        <w:t xml:space="preserve">The AUC score is calculated by varying the probability threshold from 0.0 to 1.0 with an increment of 0.01 and getting the corresponding true positive rate and false positive rate to estimate the area under the ROC curve. Based on the ROC curves, we select the optimal probability threshold achieving a high true positive rate (TPR) and low false positive rate (FPR) based on the Youden Index, i.e., selecting the threshold maximizing TPR-FPR. The values of accuracy, sensitivity, specificity, positive predictive value, and negative predictive value on the optimal threshold were calculated for each participant </w:t>
      </w:r>
      <w:r w:rsidRPr="0005219B">
        <w:rPr>
          <w:rFonts w:ascii="Times New Roman" w:hAnsi="Times New Roman" w:cs="Times New Roman" w:hint="eastAsia"/>
          <w:lang w:val="en-US"/>
        </w:rPr>
        <w:t>group</w:t>
      </w:r>
      <w:r w:rsidRPr="0005219B">
        <w:rPr>
          <w:rFonts w:ascii="Times New Roman" w:hAnsi="Times New Roman" w:cs="Times New Roman"/>
          <w:lang w:val="en-US"/>
        </w:rPr>
        <w:t xml:space="preserve">, as shown in Equation (1). Accuracy was the proportion of true results among the total number of cases examined. Sensitivity was the proportion of case-positive participant data that were predicted as positives by the ML model. Specificity was the proportion of case-negative participant data that were predicted as negatives by the model. Precision, or positive predictive value, was the probability of predicting </w:t>
      </w:r>
      <w:r w:rsidRPr="0005219B">
        <w:rPr>
          <w:rFonts w:ascii="Times New Roman" w:hAnsi="Times New Roman" w:cs="Times New Roman"/>
          <w:lang w:val="en-US"/>
        </w:rPr>
        <w:lastRenderedPageBreak/>
        <w:t xml:space="preserve">participants as cases. Sensitivity, specificity, positive predictive value (PPV), accuracy,  and area under the receiver operating characteristic curve (AUC) were used as performance indexes.   </w:t>
      </w:r>
    </w:p>
    <w:p w14:paraId="4A401F82" w14:textId="77777777" w:rsidR="00E061F4" w:rsidRPr="0005219B" w:rsidRDefault="00000000">
      <w:pPr>
        <w:spacing w:line="480" w:lineRule="auto"/>
        <w:rPr>
          <w:rFonts w:ascii="Times New Roman" w:hAnsi="Times New Roman" w:cs="Times New Roman"/>
          <w:lang w:val="en-US"/>
        </w:rPr>
      </w:pPr>
      <m:oMath>
        <m:r>
          <w:rPr>
            <w:rFonts w:ascii="Cambria Math" w:hAnsi="Cambria Math" w:cs="Times New Roman"/>
          </w:rPr>
          <m:t>Sensitivity</m:t>
        </m:r>
        <m:r>
          <w:rPr>
            <w:rFonts w:ascii="Cambria Math" w:hAnsi="Cambria Math" w:cs="Times New Roman"/>
            <w:lang w:val="en-US"/>
          </w:rPr>
          <m:t>=</m:t>
        </m:r>
        <m:f>
          <m:fPr>
            <m:ctrlPr>
              <w:rPr>
                <w:rFonts w:ascii="Cambria Math" w:hAnsi="Cambria Math" w:cs="Times New Roman"/>
              </w:rPr>
            </m:ctrlPr>
          </m:fPr>
          <m:num>
            <m:r>
              <w:rPr>
                <w:rFonts w:ascii="Cambria Math" w:hAnsi="Cambria Math" w:cs="Times New Roman"/>
              </w:rPr>
              <m:t>TP</m:t>
            </m:r>
          </m:num>
          <m:den>
            <m:r>
              <w:rPr>
                <w:rFonts w:ascii="Cambria Math" w:hAnsi="Cambria Math" w:cs="Times New Roman"/>
              </w:rPr>
              <m:t>TP</m:t>
            </m:r>
            <m:r>
              <w:rPr>
                <w:rFonts w:ascii="Cambria Math" w:hAnsi="Cambria Math" w:cs="Times New Roman"/>
                <w:lang w:val="en-US"/>
              </w:rPr>
              <m:t>+</m:t>
            </m:r>
            <m:r>
              <w:rPr>
                <w:rFonts w:ascii="Cambria Math" w:hAnsi="Cambria Math" w:cs="Times New Roman"/>
              </w:rPr>
              <m:t>FN</m:t>
            </m:r>
          </m:den>
        </m:f>
        <m:r>
          <w:rPr>
            <w:rFonts w:ascii="Cambria Math" w:hAnsi="Cambria Math" w:cs="Times New Roman"/>
            <w:lang w:val="en-US"/>
          </w:rPr>
          <m:t>, </m:t>
        </m:r>
        <m:r>
          <w:rPr>
            <w:rFonts w:ascii="Cambria Math" w:hAnsi="Cambria Math" w:cs="Times New Roman"/>
          </w:rPr>
          <m:t>Specificity</m:t>
        </m:r>
        <m:r>
          <w:rPr>
            <w:rFonts w:ascii="Cambria Math" w:hAnsi="Cambria Math" w:cs="Times New Roman"/>
            <w:lang w:val="en-US"/>
          </w:rPr>
          <m:t>=</m:t>
        </m:r>
        <m:f>
          <m:fPr>
            <m:ctrlPr>
              <w:rPr>
                <w:rFonts w:ascii="Cambria Math" w:hAnsi="Cambria Math" w:cs="Times New Roman"/>
              </w:rPr>
            </m:ctrlPr>
          </m:fPr>
          <m:num>
            <m:r>
              <w:rPr>
                <w:rFonts w:ascii="Cambria Math" w:hAnsi="Cambria Math" w:cs="Times New Roman"/>
              </w:rPr>
              <m:t>TN</m:t>
            </m:r>
          </m:num>
          <m:den>
            <m:r>
              <w:rPr>
                <w:rFonts w:ascii="Cambria Math" w:hAnsi="Cambria Math" w:cs="Times New Roman"/>
              </w:rPr>
              <m:t>TN</m:t>
            </m:r>
            <m:r>
              <w:rPr>
                <w:rFonts w:ascii="Cambria Math" w:hAnsi="Cambria Math" w:cs="Times New Roman"/>
                <w:lang w:val="en-US"/>
              </w:rPr>
              <m:t>+</m:t>
            </m:r>
            <m:r>
              <w:rPr>
                <w:rFonts w:ascii="Cambria Math" w:hAnsi="Cambria Math" w:cs="Times New Roman"/>
              </w:rPr>
              <m:t>FP</m:t>
            </m:r>
          </m:den>
        </m:f>
        <m:r>
          <w:rPr>
            <w:rFonts w:ascii="Cambria Math" w:hAnsi="Cambria Math" w:cs="Times New Roman"/>
            <w:lang w:val="en-US"/>
          </w:rPr>
          <m:t>, </m:t>
        </m:r>
        <m:r>
          <w:rPr>
            <w:rFonts w:ascii="Cambria Math" w:hAnsi="Cambria Math" w:cs="Times New Roman"/>
          </w:rPr>
          <m:t>PPV</m:t>
        </m:r>
        <m:r>
          <w:rPr>
            <w:rFonts w:ascii="Cambria Math" w:hAnsi="Cambria Math" w:cs="Times New Roman"/>
            <w:lang w:val="en-US"/>
          </w:rPr>
          <m:t>=</m:t>
        </m:r>
        <m:f>
          <m:fPr>
            <m:ctrlPr>
              <w:rPr>
                <w:rFonts w:ascii="Cambria Math" w:hAnsi="Cambria Math" w:cs="Times New Roman"/>
              </w:rPr>
            </m:ctrlPr>
          </m:fPr>
          <m:num>
            <m:r>
              <w:rPr>
                <w:rFonts w:ascii="Cambria Math" w:hAnsi="Cambria Math" w:cs="Times New Roman"/>
              </w:rPr>
              <m:t>TP</m:t>
            </m:r>
          </m:num>
          <m:den>
            <m:r>
              <w:rPr>
                <w:rFonts w:ascii="Cambria Math" w:hAnsi="Cambria Math" w:cs="Times New Roman"/>
              </w:rPr>
              <m:t>TP</m:t>
            </m:r>
            <m:r>
              <w:rPr>
                <w:rFonts w:ascii="Cambria Math" w:hAnsi="Cambria Math" w:cs="Times New Roman"/>
                <w:lang w:val="en-US"/>
              </w:rPr>
              <m:t>+</m:t>
            </m:r>
            <m:r>
              <w:rPr>
                <w:rFonts w:ascii="Cambria Math" w:hAnsi="Cambria Math" w:cs="Times New Roman"/>
              </w:rPr>
              <m:t>FP</m:t>
            </m:r>
          </m:den>
        </m:f>
        <m:r>
          <w:rPr>
            <w:rFonts w:ascii="Cambria Math" w:hAnsi="Cambria Math" w:cs="Times New Roman"/>
            <w:lang w:val="en-US"/>
          </w:rPr>
          <m:t>,</m:t>
        </m:r>
        <m:r>
          <w:rPr>
            <w:rFonts w:ascii="Cambria Math" w:hAnsi="Cambria Math" w:cs="Times New Roman"/>
          </w:rPr>
          <m:t>NPV</m:t>
        </m:r>
        <m:r>
          <w:rPr>
            <w:rFonts w:ascii="Cambria Math" w:hAnsi="Cambria Math" w:cs="Times New Roman"/>
            <w:lang w:val="en-US"/>
          </w:rPr>
          <m:t>=</m:t>
        </m:r>
        <m:f>
          <m:fPr>
            <m:ctrlPr>
              <w:rPr>
                <w:rFonts w:ascii="Cambria Math" w:hAnsi="Cambria Math" w:cs="Times New Roman"/>
              </w:rPr>
            </m:ctrlPr>
          </m:fPr>
          <m:num>
            <m:r>
              <w:rPr>
                <w:rFonts w:ascii="Cambria Math" w:hAnsi="Cambria Math" w:cs="Times New Roman"/>
              </w:rPr>
              <m:t>TN</m:t>
            </m:r>
          </m:num>
          <m:den>
            <m:r>
              <w:rPr>
                <w:rFonts w:ascii="Cambria Math" w:hAnsi="Cambria Math" w:cs="Times New Roman"/>
              </w:rPr>
              <m:t>TN</m:t>
            </m:r>
            <m:r>
              <w:rPr>
                <w:rFonts w:ascii="Cambria Math" w:hAnsi="Cambria Math" w:cs="Times New Roman"/>
                <w:lang w:val="en-US"/>
              </w:rPr>
              <m:t>+</m:t>
            </m:r>
            <m:r>
              <w:rPr>
                <w:rFonts w:ascii="Cambria Math" w:hAnsi="Cambria Math" w:cs="Times New Roman"/>
              </w:rPr>
              <m:t>FN</m:t>
            </m:r>
          </m:den>
        </m:f>
      </m:oMath>
      <w:r w:rsidRPr="0005219B">
        <w:rPr>
          <w:rFonts w:ascii="Times New Roman" w:hAnsi="Times New Roman" w:cs="Times New Roman"/>
          <w:lang w:val="en-US"/>
        </w:rPr>
        <w:t xml:space="preserve">, </w:t>
      </w:r>
      <w:r w:rsidRPr="0005219B">
        <w:rPr>
          <w:rFonts w:ascii="Times New Roman" w:hAnsi="Times New Roman" w:cs="Times New Roman"/>
          <w:lang w:val="en-US"/>
        </w:rPr>
        <w:tab/>
      </w:r>
      <w:r w:rsidRPr="0005219B">
        <w:rPr>
          <w:rFonts w:ascii="Times New Roman" w:hAnsi="Times New Roman" w:cs="Times New Roman"/>
          <w:lang w:val="en-US"/>
        </w:rPr>
        <w:tab/>
        <w:t>(1)</w:t>
      </w:r>
    </w:p>
    <w:p w14:paraId="19058ABB" w14:textId="42E3A625" w:rsidR="00E061F4" w:rsidRPr="0005219B" w:rsidRDefault="00000000">
      <w:pPr>
        <w:spacing w:line="480" w:lineRule="auto"/>
        <w:rPr>
          <w:rFonts w:ascii="Times New Roman" w:hAnsi="Times New Roman" w:cs="Times New Roman"/>
          <w:lang w:val="en-US"/>
        </w:rPr>
      </w:pPr>
      <w:r w:rsidRPr="0005219B">
        <w:rPr>
          <w:rFonts w:ascii="Times New Roman" w:hAnsi="Times New Roman" w:cs="Times New Roman"/>
          <w:lang w:val="en-US"/>
        </w:rPr>
        <w:t xml:space="preserve">where TP is the true positive instance. TN is the true negative instance. FN is the false negative instances, and FP is the false positive instances. </w:t>
      </w:r>
    </w:p>
    <w:p w14:paraId="04A7ECDF" w14:textId="77777777" w:rsidR="00E061F4" w:rsidRPr="0005219B" w:rsidRDefault="00E061F4">
      <w:pPr>
        <w:rPr>
          <w:lang w:val="en-US"/>
        </w:rPr>
      </w:pPr>
    </w:p>
    <w:p w14:paraId="3936DEAF" w14:textId="77777777" w:rsidR="00E061F4" w:rsidRPr="0005219B" w:rsidRDefault="00E061F4">
      <w:pPr>
        <w:rPr>
          <w:lang w:val="en-US"/>
        </w:rPr>
      </w:pPr>
    </w:p>
    <w:p w14:paraId="0909B7D8" w14:textId="77777777" w:rsidR="00E061F4" w:rsidRDefault="00000000">
      <w:pPr>
        <w:pStyle w:val="Heading1"/>
        <w:spacing w:after="240"/>
        <w:rPr>
          <w:b/>
          <w:bCs/>
          <w:color w:val="000000" w:themeColor="text1"/>
        </w:rPr>
      </w:pPr>
      <w:bookmarkStart w:id="1" w:name="_Toc146752393"/>
      <w:bookmarkStart w:id="2" w:name="_Toc146753320"/>
      <w:bookmarkStart w:id="3" w:name="_Toc146754205"/>
      <w:r>
        <w:rPr>
          <w:b/>
          <w:bCs/>
          <w:color w:val="000000" w:themeColor="text1"/>
        </w:rPr>
        <w:t xml:space="preserve">II. </w:t>
      </w:r>
      <w:bookmarkEnd w:id="1"/>
      <w:bookmarkEnd w:id="2"/>
      <w:r>
        <w:rPr>
          <w:b/>
          <w:bCs/>
          <w:color w:val="000000" w:themeColor="text1"/>
        </w:rPr>
        <w:t>The calculations of SHAP values</w:t>
      </w:r>
      <w:bookmarkEnd w:id="3"/>
      <w:r>
        <w:rPr>
          <w:b/>
          <w:bCs/>
          <w:color w:val="000000" w:themeColor="text1"/>
        </w:rPr>
        <w:t xml:space="preserve"> </w:t>
      </w:r>
    </w:p>
    <w:p w14:paraId="54DE8BE5" w14:textId="77777777" w:rsidR="00E061F4" w:rsidRPr="0005219B" w:rsidRDefault="00000000">
      <w:pPr>
        <w:shd w:val="clear" w:color="auto" w:fill="FFFFFF" w:themeFill="background1"/>
        <w:spacing w:line="480" w:lineRule="auto"/>
        <w:rPr>
          <w:rFonts w:ascii="Times New Roman" w:hAnsi="Times New Roman" w:cs="Times New Roman"/>
          <w:color w:val="000000" w:themeColor="text1"/>
          <w:lang w:val="en-US" w:eastAsia="zh-TW"/>
        </w:rPr>
      </w:pPr>
      <w:r w:rsidRPr="0005219B">
        <w:rPr>
          <w:rFonts w:ascii="Times New Roman" w:hAnsi="Times New Roman" w:cs="Times New Roman"/>
          <w:color w:val="000000" w:themeColor="text1"/>
          <w:lang w:val="en-US" w:eastAsia="zh-TW"/>
        </w:rPr>
        <w:t xml:space="preserve">SHAP is a game-theoretic method that computes the contribution of each feature in a </w:t>
      </w:r>
      <w:r w:rsidRPr="0005219B">
        <w:rPr>
          <w:rFonts w:ascii="Times New Roman" w:hAnsi="Times New Roman" w:cs="Times New Roman" w:hint="eastAsia"/>
          <w:color w:val="000000" w:themeColor="text1"/>
          <w:lang w:val="en-US"/>
        </w:rPr>
        <w:t>machine-learning</w:t>
      </w:r>
      <w:r w:rsidRPr="0005219B">
        <w:rPr>
          <w:rFonts w:ascii="Times New Roman" w:hAnsi="Times New Roman" w:cs="Times New Roman"/>
          <w:color w:val="000000" w:themeColor="text1"/>
          <w:lang w:val="en-US" w:eastAsia="zh-TW"/>
        </w:rPr>
        <w:t xml:space="preserve"> model. It can be implemented efficiently, especially for tree-based models. In this study, SHAP analysis was used to understand the “global” impact of input features on the overall model. The SHAP values also provide the capability to explore the “local” feature effects, which illustrates the impact of input features on individual predictions. More specifically, suppose </w:t>
      </w:r>
      <m:oMath>
        <m:r>
          <w:rPr>
            <w:rFonts w:ascii="Cambria Math" w:hAnsi="Cambria Math" w:cs="Times New Roman"/>
            <w:color w:val="000000" w:themeColor="text1"/>
            <w:lang w:eastAsia="zh-TW"/>
          </w:rPr>
          <m:t>X</m:t>
        </m:r>
        <m:r>
          <w:rPr>
            <w:rFonts w:ascii="Cambria Math" w:hAnsi="Cambria Math" w:cs="Times New Roman"/>
            <w:color w:val="000000" w:themeColor="text1"/>
            <w:lang w:val="en-US" w:eastAsia="zh-TW"/>
          </w:rPr>
          <m:t>=</m:t>
        </m:r>
        <m:d>
          <m:dPr>
            <m:begChr m:val="{"/>
            <m:endChr m:val="|"/>
            <m:ctrlPr>
              <w:rPr>
                <w:rFonts w:ascii="Cambria Math" w:hAnsi="Cambria Math" w:cs="Times New Roman"/>
                <w:i/>
                <w:color w:val="000000" w:themeColor="text1"/>
                <w:lang w:eastAsia="zh-TW"/>
              </w:rPr>
            </m:ctrlPr>
          </m:dPr>
          <m:e>
            <m:d>
              <m:dPr>
                <m:ctrlPr>
                  <w:rPr>
                    <w:rFonts w:ascii="Cambria Math" w:hAnsi="Cambria Math" w:cs="Times New Roman"/>
                    <w:i/>
                    <w:color w:val="000000" w:themeColor="text1"/>
                    <w:lang w:eastAsia="zh-TW"/>
                  </w:rPr>
                </m:ctrlPr>
              </m:dPr>
              <m:e>
                <m:sSub>
                  <m:sSubPr>
                    <m:ctrlPr>
                      <w:rPr>
                        <w:rFonts w:ascii="Cambria Math" w:hAnsi="Cambria Math" w:cs="Times New Roman"/>
                        <w:i/>
                        <w:color w:val="000000" w:themeColor="text1"/>
                        <w:lang w:eastAsia="zh-TW"/>
                      </w:rPr>
                    </m:ctrlPr>
                  </m:sSubPr>
                  <m:e>
                    <m:r>
                      <w:rPr>
                        <w:rFonts w:ascii="Cambria Math" w:hAnsi="Cambria Math" w:cs="Times New Roman"/>
                        <w:color w:val="000000" w:themeColor="text1"/>
                        <w:lang w:eastAsia="zh-TW"/>
                      </w:rPr>
                      <m:t>x</m:t>
                    </m:r>
                  </m:e>
                  <m:sub>
                    <m:r>
                      <w:rPr>
                        <w:rFonts w:ascii="Cambria Math" w:hAnsi="Cambria Math" w:cs="Times New Roman"/>
                        <w:color w:val="000000" w:themeColor="text1"/>
                        <w:lang w:eastAsia="zh-TW"/>
                      </w:rPr>
                      <m:t>i</m:t>
                    </m:r>
                  </m:sub>
                </m:sSub>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m:t>
                    </m:r>
                  </m:sub>
                </m:sSub>
                <m:ctrlPr>
                  <w:rPr>
                    <w:rFonts w:ascii="Cambria Math" w:hAnsi="Cambria Math" w:cs="Times New Roman"/>
                    <w:i/>
                    <w:color w:val="000000" w:themeColor="text1"/>
                  </w:rPr>
                </m:ctrlPr>
              </m:e>
            </m:d>
            <m:ctrlPr>
              <w:rPr>
                <w:rFonts w:ascii="Cambria Math" w:hAnsi="Cambria Math" w:cs="Times New Roman"/>
                <w:i/>
                <w:color w:val="000000" w:themeColor="text1"/>
              </w:rPr>
            </m:ctrlPr>
          </m:e>
        </m:d>
        <m:r>
          <w:rPr>
            <w:rFonts w:ascii="Cambria Math" w:hAnsi="Cambria Math" w:cs="Times New Roman"/>
            <w:color w:val="000000" w:themeColor="text1"/>
            <w:lang w:eastAsia="zh-TW"/>
          </w:rPr>
          <m:t>i</m:t>
        </m:r>
        <m:r>
          <w:rPr>
            <w:rFonts w:ascii="Cambria Math" w:hAnsi="Cambria Math" w:cs="Times New Roman"/>
            <w:color w:val="000000" w:themeColor="text1"/>
            <w:lang w:val="en-US" w:eastAsia="zh-TW"/>
          </w:rPr>
          <m:t xml:space="preserve">=1,2,…, </m:t>
        </m:r>
        <m:r>
          <w:rPr>
            <w:rFonts w:ascii="Cambria Math" w:hAnsi="Cambria Math" w:cs="Times New Roman"/>
            <w:color w:val="000000" w:themeColor="text1"/>
            <w:lang w:eastAsia="zh-TW"/>
          </w:rPr>
          <m:t>N</m:t>
        </m:r>
        <m:r>
          <w:rPr>
            <w:rFonts w:ascii="Cambria Math" w:hAnsi="Cambria Math" w:cs="Times New Roman"/>
            <w:color w:val="000000" w:themeColor="text1"/>
            <w:lang w:val="en-US" w:eastAsia="zh-TW"/>
          </w:rPr>
          <m:t>}</m:t>
        </m:r>
      </m:oMath>
      <w:r w:rsidRPr="0005219B">
        <w:rPr>
          <w:rFonts w:ascii="Times New Roman" w:hAnsi="Times New Roman" w:cs="Times New Roman"/>
          <w:color w:val="000000" w:themeColor="text1"/>
          <w:lang w:val="en-US" w:eastAsia="zh-TW"/>
        </w:rPr>
        <w:t xml:space="preserve"> is the training set, where </w:t>
      </w:r>
      <m:oMath>
        <m:sSub>
          <m:sSubPr>
            <m:ctrlPr>
              <w:rPr>
                <w:rFonts w:ascii="Cambria Math" w:hAnsi="Cambria Math" w:cs="Times New Roman"/>
                <w:i/>
                <w:color w:val="000000" w:themeColor="text1"/>
                <w:lang w:eastAsia="zh-TW"/>
              </w:rPr>
            </m:ctrlPr>
          </m:sSubPr>
          <m:e>
            <m:r>
              <w:rPr>
                <w:rFonts w:ascii="Cambria Math" w:hAnsi="Cambria Math" w:cs="Times New Roman"/>
                <w:color w:val="000000" w:themeColor="text1"/>
                <w:lang w:eastAsia="zh-TW"/>
              </w:rPr>
              <m:t>x</m:t>
            </m:r>
          </m:e>
          <m:sub>
            <m:r>
              <w:rPr>
                <w:rFonts w:ascii="Cambria Math" w:hAnsi="Cambria Math" w:cs="Times New Roman"/>
                <w:color w:val="000000" w:themeColor="text1"/>
                <w:lang w:eastAsia="zh-TW"/>
              </w:rPr>
              <m:t>i</m:t>
            </m:r>
          </m:sub>
        </m:sSub>
      </m:oMath>
      <w:r w:rsidRPr="0005219B">
        <w:rPr>
          <w:rFonts w:ascii="Times New Roman" w:hAnsi="Times New Roman" w:cs="Times New Roman"/>
          <w:color w:val="000000" w:themeColor="text1"/>
          <w:lang w:val="en-US" w:eastAsia="zh-TW"/>
        </w:rPr>
        <w:t xml:space="preserve"> and </w:t>
      </w:r>
      <m:oMath>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oMath>
      <w:r w:rsidRPr="0005219B">
        <w:rPr>
          <w:rFonts w:ascii="Times New Roman" w:hAnsi="Times New Roman" w:cs="Times New Roman"/>
          <w:color w:val="000000" w:themeColor="text1"/>
          <w:lang w:val="en-US" w:eastAsia="zh-TW"/>
        </w:rPr>
        <w:t xml:space="preserve"> are the input features and output of participant i, and N is the number of participants in the training set. Then, the output </w:t>
      </w:r>
      <m:oMath>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oMath>
      <w:r w:rsidRPr="0005219B">
        <w:rPr>
          <w:rFonts w:ascii="Times New Roman" w:hAnsi="Times New Roman" w:cs="Times New Roman"/>
          <w:color w:val="000000" w:themeColor="text1"/>
          <w:lang w:val="en-US" w:eastAsia="zh-TW"/>
        </w:rPr>
        <w:t xml:space="preserve"> follows the equation below:</w:t>
      </w:r>
    </w:p>
    <w:p w14:paraId="78A9B365" w14:textId="77777777" w:rsidR="00E061F4" w:rsidRPr="0005219B" w:rsidRDefault="00000000">
      <w:pPr>
        <w:shd w:val="clear" w:color="auto" w:fill="FFFFFF" w:themeFill="background1"/>
        <w:spacing w:line="480" w:lineRule="auto"/>
        <w:rPr>
          <w:rFonts w:ascii="Times New Roman" w:hAnsi="Times New Roman" w:cs="Times New Roman"/>
          <w:color w:val="000000" w:themeColor="text1"/>
          <w:lang w:val="en-US" w:eastAsia="zh-TW"/>
        </w:rPr>
      </w:pPr>
      <m:oMath>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lang w:val="en-US"/>
          </w:rPr>
          <m:t>=</m:t>
        </m:r>
        <m:r>
          <w:rPr>
            <w:rFonts w:ascii="Cambria Math" w:hAnsi="Cambria Math" w:cs="Times New Roman"/>
          </w:rPr>
          <m:t>E</m:t>
        </m:r>
        <m:d>
          <m:dPr>
            <m:begChr m:val="["/>
            <m:endChr m:val="]"/>
            <m:ctrlPr>
              <w:rPr>
                <w:rFonts w:ascii="Cambria Math" w:hAnsi="Cambria Math" w:cs="Times New Roman"/>
              </w:rPr>
            </m:ctrlPr>
          </m:dPr>
          <m:e>
            <m:r>
              <w:rPr>
                <w:rFonts w:ascii="Cambria Math" w:hAnsi="Cambria Math" w:cs="Times New Roman"/>
              </w:rPr>
              <m:t>f</m:t>
            </m:r>
            <m:d>
              <m:dPr>
                <m:ctrlPr>
                  <w:rPr>
                    <w:rFonts w:ascii="Cambria Math" w:hAnsi="Cambria Math" w:cs="Times New Roman"/>
                  </w:rPr>
                </m:ctrlPr>
              </m:dPr>
              <m:e>
                <m:r>
                  <w:rPr>
                    <w:rFonts w:ascii="Cambria Math" w:hAnsi="Cambria Math" w:cs="Times New Roman"/>
                  </w:rPr>
                  <m:t>X</m:t>
                </m:r>
              </m:e>
            </m:d>
          </m:e>
        </m:d>
        <m:r>
          <w:rPr>
            <w:rFonts w:ascii="Cambria Math" w:hAnsi="Cambria Math" w:cs="Times New Roman"/>
            <w:lang w:val="en-US"/>
          </w:rPr>
          <m:t>+</m:t>
        </m:r>
        <m:nary>
          <m:naryPr>
            <m:chr m:val="∑"/>
            <m:ctrlPr>
              <w:rPr>
                <w:rFonts w:ascii="Cambria Math" w:hAnsi="Cambria Math" w:cs="Times New Roman"/>
              </w:rPr>
            </m:ctrlPr>
          </m:naryPr>
          <m:sub>
            <m:r>
              <w:rPr>
                <w:rFonts w:ascii="Cambria Math" w:hAnsi="Cambria Math" w:cs="Times New Roman"/>
              </w:rPr>
              <m:t>j</m:t>
            </m:r>
            <m:r>
              <w:rPr>
                <w:rFonts w:ascii="Cambria Math" w:hAnsi="Cambria Math" w:cs="Times New Roman"/>
                <w:lang w:val="en-US"/>
              </w:rPr>
              <m:t>=1</m:t>
            </m:r>
          </m:sub>
          <m:sup>
            <m:r>
              <w:rPr>
                <w:rFonts w:ascii="Cambria Math" w:hAnsi="Cambria Math" w:cs="Times New Roman"/>
              </w:rPr>
              <m:t>M</m:t>
            </m:r>
          </m:sup>
          <m:e>
            <m:r>
              <w:rPr>
                <w:rFonts w:ascii="Cambria Math" w:hAnsi="Cambria Math" w:cs="Times New Roman"/>
              </w:rPr>
              <m:t>f</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ij</m:t>
                    </m:r>
                  </m:sub>
                </m:sSub>
              </m:e>
            </m:d>
          </m:e>
        </m:nary>
        <m:r>
          <w:rPr>
            <w:rFonts w:ascii="Cambria Math" w:hAnsi="Cambria Math" w:cs="Times New Roman"/>
            <w:lang w:val="en-US"/>
          </w:rPr>
          <m:t>,</m:t>
        </m:r>
        <m:r>
          <w:rPr>
            <w:rFonts w:ascii="Cambria Math" w:hAnsi="Cambria Math" w:cs="Times New Roman"/>
          </w:rPr>
          <m:t>i</m:t>
        </m:r>
        <m:r>
          <w:rPr>
            <w:rFonts w:ascii="Cambria Math" w:hAnsi="Cambria Math" w:cs="Times New Roman"/>
            <w:lang w:val="en-US"/>
          </w:rPr>
          <m:t>=1,2,…,</m:t>
        </m:r>
        <m:r>
          <w:rPr>
            <w:rFonts w:ascii="Cambria Math" w:hAnsi="Cambria Math" w:cs="Times New Roman"/>
          </w:rPr>
          <m:t>N</m:t>
        </m:r>
        <m:r>
          <w:rPr>
            <w:rFonts w:ascii="Cambria Math" w:hAnsi="Cambria Math" w:cs="Times New Roman"/>
            <w:lang w:val="en-US"/>
          </w:rPr>
          <m:t>,</m:t>
        </m:r>
      </m:oMath>
      <w:r w:rsidRPr="0005219B">
        <w:rPr>
          <w:rFonts w:ascii="Times New Roman" w:hAnsi="Times New Roman" w:cs="Times New Roman"/>
          <w:lang w:val="en-US"/>
        </w:rPr>
        <w:tab/>
      </w:r>
      <w:r w:rsidRPr="0005219B">
        <w:rPr>
          <w:rFonts w:ascii="Times New Roman" w:hAnsi="Times New Roman" w:cs="Times New Roman"/>
          <w:lang w:val="en-US"/>
        </w:rPr>
        <w:tab/>
      </w:r>
      <w:r w:rsidRPr="0005219B">
        <w:rPr>
          <w:rFonts w:ascii="Times New Roman" w:hAnsi="Times New Roman" w:cs="Times New Roman"/>
          <w:lang w:val="en-US"/>
        </w:rPr>
        <w:tab/>
      </w:r>
      <w:r w:rsidRPr="0005219B">
        <w:rPr>
          <w:rFonts w:ascii="Times New Roman" w:hAnsi="Times New Roman" w:cs="Times New Roman"/>
          <w:lang w:val="en-US"/>
        </w:rPr>
        <w:tab/>
      </w:r>
      <w:r w:rsidRPr="0005219B">
        <w:rPr>
          <w:rFonts w:ascii="Times New Roman" w:hAnsi="Times New Roman" w:cs="Times New Roman"/>
          <w:lang w:val="en-US"/>
        </w:rPr>
        <w:tab/>
      </w:r>
      <w:r w:rsidRPr="0005219B">
        <w:rPr>
          <w:rFonts w:ascii="Times New Roman" w:hAnsi="Times New Roman" w:cs="Times New Roman"/>
          <w:lang w:val="en-US"/>
        </w:rPr>
        <w:tab/>
        <w:t>(2)</w:t>
      </w:r>
    </w:p>
    <w:p w14:paraId="2154166A" w14:textId="0B5C1D58" w:rsidR="00E061F4" w:rsidRPr="0048772C" w:rsidRDefault="00000000">
      <w:pPr>
        <w:spacing w:line="480" w:lineRule="auto"/>
        <w:rPr>
          <w:rFonts w:ascii="Times New Roman" w:hAnsi="Times New Roman" w:cs="Times New Roman"/>
          <w:lang w:val="en-US"/>
        </w:rPr>
      </w:pPr>
      <w:r w:rsidRPr="0005219B">
        <w:rPr>
          <w:rFonts w:ascii="Times New Roman" w:hAnsi="Times New Roman" w:cs="Times New Roman"/>
          <w:color w:val="000000" w:themeColor="text1"/>
          <w:lang w:val="en-US" w:eastAsia="zh-TW"/>
        </w:rPr>
        <w:t xml:space="preserve">where E[f(X)] is the baseline value of the model, which is the expected output of the model (usually the mean of the predicted value of all training samples), and </w:t>
      </w:r>
      <m:oMath>
        <m:r>
          <w:rPr>
            <w:rFonts w:ascii="Cambria Math" w:hAnsi="Cambria Math" w:cs="Times New Roman"/>
          </w:rPr>
          <m:t>f</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ij</m:t>
                </m:r>
              </m:sub>
            </m:sSub>
          </m:e>
        </m:d>
      </m:oMath>
      <w:r w:rsidRPr="0005219B">
        <w:rPr>
          <w:rFonts w:ascii="Times New Roman" w:hAnsi="Times New Roman" w:cs="Times New Roman"/>
          <w:color w:val="000000" w:themeColor="text1"/>
          <w:shd w:val="clear" w:color="auto" w:fill="E6E6E6"/>
          <w:lang w:val="en-US" w:eastAsia="zh-TW"/>
        </w:rPr>
        <w:t xml:space="preserve"> </w:t>
      </w:r>
      <w:r w:rsidRPr="0005219B">
        <w:rPr>
          <w:rFonts w:ascii="Times New Roman" w:hAnsi="Times New Roman" w:cs="Times New Roman"/>
          <w:color w:val="000000" w:themeColor="text1"/>
          <w:lang w:val="en-US" w:eastAsia="zh-TW"/>
        </w:rPr>
        <w:t xml:space="preserve">is the SHAP value of </w:t>
      </w:r>
      <m:oMath>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ij</m:t>
            </m:r>
          </m:sub>
        </m:sSub>
      </m:oMath>
      <w:r w:rsidRPr="0005219B">
        <w:rPr>
          <w:rFonts w:ascii="Times New Roman" w:hAnsi="Times New Roman" w:cs="Times New Roman"/>
          <w:color w:val="000000" w:themeColor="text1"/>
          <w:lang w:val="en-US" w:eastAsia="zh-TW"/>
        </w:rPr>
        <w:t xml:space="preserve">, meaning the contribution of the </w:t>
      </w:r>
      <m:oMath>
        <m:sSup>
          <m:sSupPr>
            <m:ctrlPr>
              <w:rPr>
                <w:rFonts w:ascii="Cambria Math" w:hAnsi="Cambria Math" w:cs="Times New Roman"/>
                <w:i/>
                <w:color w:val="000000" w:themeColor="text1"/>
                <w:lang w:eastAsia="zh-TW"/>
              </w:rPr>
            </m:ctrlPr>
          </m:sSupPr>
          <m:e>
            <m:r>
              <w:rPr>
                <w:rFonts w:ascii="Cambria Math" w:hAnsi="Cambria Math" w:cs="Times New Roman"/>
                <w:color w:val="000000" w:themeColor="text1"/>
                <w:lang w:eastAsia="zh-TW"/>
              </w:rPr>
              <m:t>j</m:t>
            </m:r>
          </m:e>
          <m:sup>
            <m:r>
              <w:rPr>
                <w:rFonts w:ascii="Cambria Math" w:hAnsi="Cambria Math" w:cs="Times New Roman"/>
                <w:color w:val="000000" w:themeColor="text1"/>
                <w:lang w:eastAsia="zh-TW"/>
              </w:rPr>
              <m:t>t</m:t>
            </m:r>
            <m:r>
              <w:rPr>
                <w:rFonts w:ascii="Cambria Math" w:hAnsi="Cambria Math" w:cs="Times New Roman"/>
                <w:color w:val="000000" w:themeColor="text1"/>
                <w:lang w:val="en-US" w:eastAsia="zh-TW"/>
              </w:rPr>
              <m:t>h</m:t>
            </m:r>
          </m:sup>
        </m:sSup>
      </m:oMath>
      <w:r w:rsidRPr="0005219B">
        <w:rPr>
          <w:rFonts w:ascii="Times New Roman" w:hAnsi="Times New Roman" w:cs="Times New Roman"/>
          <w:color w:val="000000" w:themeColor="text1"/>
          <w:lang w:val="en-US" w:eastAsia="zh-TW"/>
        </w:rPr>
        <w:t xml:space="preserve"> feature of </w:t>
      </w:r>
      <m:oMath>
        <m:sSup>
          <m:sSupPr>
            <m:ctrlPr>
              <w:rPr>
                <w:rFonts w:ascii="Cambria Math" w:hAnsi="Cambria Math" w:cs="Times New Roman"/>
                <w:i/>
                <w:color w:val="000000" w:themeColor="text1"/>
                <w:lang w:eastAsia="zh-TW"/>
              </w:rPr>
            </m:ctrlPr>
          </m:sSupPr>
          <m:e>
            <m:r>
              <w:rPr>
                <w:rFonts w:ascii="Cambria Math" w:hAnsi="Cambria Math" w:cs="Times New Roman"/>
                <w:color w:val="000000" w:themeColor="text1"/>
                <w:lang w:eastAsia="zh-TW"/>
              </w:rPr>
              <m:t>i</m:t>
            </m:r>
          </m:e>
          <m:sup>
            <m:r>
              <w:rPr>
                <w:rFonts w:ascii="Cambria Math" w:hAnsi="Cambria Math" w:cs="Times New Roman"/>
                <w:color w:val="000000" w:themeColor="text1"/>
                <w:lang w:eastAsia="zh-TW"/>
              </w:rPr>
              <m:t>t</m:t>
            </m:r>
            <m:r>
              <w:rPr>
                <w:rFonts w:ascii="Cambria Math" w:hAnsi="Cambria Math" w:cs="Times New Roman"/>
                <w:color w:val="000000" w:themeColor="text1"/>
                <w:lang w:val="en-US" w:eastAsia="zh-TW"/>
              </w:rPr>
              <m:t>h</m:t>
            </m:r>
          </m:sup>
        </m:sSup>
      </m:oMath>
      <w:r w:rsidRPr="0005219B">
        <w:rPr>
          <w:rFonts w:ascii="Times New Roman" w:hAnsi="Times New Roman" w:cs="Times New Roman"/>
          <w:color w:val="000000" w:themeColor="text1"/>
          <w:lang w:val="en-US" w:eastAsia="zh-TW"/>
        </w:rPr>
        <w:t xml:space="preserve"> sample to the output </w:t>
      </w:r>
      <m:oMath>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oMath>
      <w:r w:rsidRPr="0005219B">
        <w:rPr>
          <w:rFonts w:ascii="Times New Roman" w:hAnsi="Times New Roman" w:cs="Times New Roman"/>
          <w:color w:val="000000" w:themeColor="text1"/>
          <w:lang w:val="en-US" w:eastAsia="zh-TW"/>
        </w:rPr>
        <w:t xml:space="preserve">. </w:t>
      </w:r>
      <w:r w:rsidRPr="0048772C">
        <w:rPr>
          <w:rFonts w:ascii="Times New Roman" w:hAnsi="Times New Roman" w:cs="Times New Roman"/>
          <w:color w:val="000000" w:themeColor="text1"/>
          <w:lang w:val="en-US" w:eastAsia="zh-TW"/>
        </w:rPr>
        <w:t xml:space="preserve">Therefore, if </w:t>
      </w:r>
      <m:oMath>
        <m:r>
          <w:rPr>
            <w:rFonts w:ascii="Cambria Math" w:hAnsi="Cambria Math" w:cs="Times New Roman"/>
          </w:rPr>
          <m:t>f</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ij</m:t>
                </m:r>
              </m:sub>
            </m:sSub>
          </m:e>
        </m:d>
        <m:r>
          <w:rPr>
            <w:rFonts w:ascii="Cambria Math" w:hAnsi="Cambria Math" w:cs="Times New Roman"/>
            <w:lang w:val="en-US"/>
          </w:rPr>
          <m:t>&gt;0</m:t>
        </m:r>
      </m:oMath>
      <w:r w:rsidRPr="0048772C">
        <w:rPr>
          <w:rFonts w:ascii="Times New Roman" w:hAnsi="Times New Roman" w:cs="Times New Roman"/>
          <w:color w:val="000000" w:themeColor="text1"/>
          <w:lang w:val="en-US" w:eastAsia="zh-TW"/>
        </w:rPr>
        <w:t xml:space="preserve">, it means that the </w:t>
      </w:r>
      <m:oMath>
        <m:sSup>
          <m:sSupPr>
            <m:ctrlPr>
              <w:rPr>
                <w:rFonts w:ascii="Cambria Math" w:hAnsi="Cambria Math" w:cs="Times New Roman"/>
                <w:i/>
                <w:color w:val="000000" w:themeColor="text1"/>
                <w:lang w:eastAsia="zh-TW"/>
              </w:rPr>
            </m:ctrlPr>
          </m:sSupPr>
          <m:e>
            <m:r>
              <w:rPr>
                <w:rFonts w:ascii="Cambria Math" w:hAnsi="Cambria Math" w:cs="Times New Roman"/>
                <w:color w:val="000000" w:themeColor="text1"/>
                <w:lang w:eastAsia="zh-TW"/>
              </w:rPr>
              <m:t>j</m:t>
            </m:r>
          </m:e>
          <m:sup>
            <m:r>
              <w:rPr>
                <w:rFonts w:ascii="Cambria Math" w:hAnsi="Cambria Math" w:cs="Times New Roman"/>
                <w:color w:val="000000" w:themeColor="text1"/>
                <w:lang w:eastAsia="zh-TW"/>
              </w:rPr>
              <m:t>t</m:t>
            </m:r>
            <m:r>
              <w:rPr>
                <w:rFonts w:ascii="Cambria Math" w:hAnsi="Cambria Math" w:cs="Times New Roman"/>
                <w:color w:val="000000" w:themeColor="text1"/>
                <w:lang w:val="en-US" w:eastAsia="zh-TW"/>
              </w:rPr>
              <m:t>h</m:t>
            </m:r>
          </m:sup>
        </m:sSup>
      </m:oMath>
      <w:r w:rsidRPr="0048772C">
        <w:rPr>
          <w:rFonts w:ascii="Times New Roman" w:hAnsi="Times New Roman" w:cs="Times New Roman"/>
          <w:color w:val="000000" w:themeColor="text1"/>
          <w:lang w:val="en-US" w:eastAsia="zh-TW"/>
        </w:rPr>
        <w:t xml:space="preserve"> feature of </w:t>
      </w:r>
      <m:oMath>
        <m:sSup>
          <m:sSupPr>
            <m:ctrlPr>
              <w:rPr>
                <w:rFonts w:ascii="Cambria Math" w:hAnsi="Cambria Math" w:cs="Times New Roman"/>
                <w:i/>
                <w:color w:val="000000" w:themeColor="text1"/>
                <w:lang w:eastAsia="zh-TW"/>
              </w:rPr>
            </m:ctrlPr>
          </m:sSupPr>
          <m:e>
            <m:r>
              <w:rPr>
                <w:rFonts w:ascii="Cambria Math" w:hAnsi="Cambria Math" w:cs="Times New Roman"/>
                <w:color w:val="000000" w:themeColor="text1"/>
                <w:lang w:eastAsia="zh-TW"/>
              </w:rPr>
              <m:t>i</m:t>
            </m:r>
          </m:e>
          <m:sup>
            <m:r>
              <w:rPr>
                <w:rFonts w:ascii="Cambria Math" w:hAnsi="Cambria Math" w:cs="Times New Roman"/>
                <w:color w:val="000000" w:themeColor="text1"/>
                <w:lang w:eastAsia="zh-TW"/>
              </w:rPr>
              <m:t>t</m:t>
            </m:r>
            <m:r>
              <w:rPr>
                <w:rFonts w:ascii="Cambria Math" w:hAnsi="Cambria Math" w:cs="Times New Roman"/>
                <w:color w:val="000000" w:themeColor="text1"/>
                <w:lang w:val="en-US" w:eastAsia="zh-TW"/>
              </w:rPr>
              <m:t>h</m:t>
            </m:r>
          </m:sup>
        </m:sSup>
      </m:oMath>
      <w:r w:rsidRPr="0048772C">
        <w:rPr>
          <w:rFonts w:ascii="Times New Roman" w:hAnsi="Times New Roman" w:cs="Times New Roman"/>
          <w:color w:val="000000" w:themeColor="text1"/>
          <w:lang w:val="en-US" w:eastAsia="zh-TW"/>
        </w:rPr>
        <w:t xml:space="preserve"> sample increases the output of </w:t>
      </w:r>
      <m:oMath>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oMath>
      <w:r w:rsidRPr="0048772C">
        <w:rPr>
          <w:rFonts w:ascii="Times New Roman" w:hAnsi="Times New Roman" w:cs="Times New Roman"/>
          <w:color w:val="000000" w:themeColor="text1"/>
          <w:lang w:val="en-US" w:eastAsia="zh-TW"/>
        </w:rPr>
        <w:t>, and vice versa.</w:t>
      </w:r>
    </w:p>
    <w:sectPr w:rsidR="00E061F4" w:rsidRPr="0048772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9A8"/>
    <w:rsid w:val="000368EF"/>
    <w:rsid w:val="0005219B"/>
    <w:rsid w:val="0013201B"/>
    <w:rsid w:val="00153A7E"/>
    <w:rsid w:val="00267C81"/>
    <w:rsid w:val="00295455"/>
    <w:rsid w:val="0048772C"/>
    <w:rsid w:val="00571937"/>
    <w:rsid w:val="005B0C70"/>
    <w:rsid w:val="00AD5AAC"/>
    <w:rsid w:val="00B13E77"/>
    <w:rsid w:val="00B24E2E"/>
    <w:rsid w:val="00B978FE"/>
    <w:rsid w:val="00C23081"/>
    <w:rsid w:val="00C6720C"/>
    <w:rsid w:val="00C70B49"/>
    <w:rsid w:val="00CF75BD"/>
    <w:rsid w:val="00D32D88"/>
    <w:rsid w:val="00D359FE"/>
    <w:rsid w:val="00D86285"/>
    <w:rsid w:val="00D939A8"/>
    <w:rsid w:val="00E061F4"/>
    <w:rsid w:val="00F34E8E"/>
    <w:rsid w:val="3AFFA21D"/>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610EA3F"/>
  <w15:docId w15:val="{920CBCE1-21A0-194C-82E6-EDBDE1008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sz w:val="24"/>
      <w:szCs w:val="24"/>
      <w:lang w:val="zh-CN"/>
      <w14:ligatures w14:val="standardContextual"/>
    </w:rPr>
  </w:style>
  <w:style w:type="paragraph" w:styleId="Heading1">
    <w:name w:val="heading 1"/>
    <w:basedOn w:val="Normal"/>
    <w:next w:val="Normal"/>
    <w:link w:val="Heading1Char"/>
    <w:uiPriority w:val="9"/>
    <w:qFormat/>
    <w:pPr>
      <w:keepNext/>
      <w:keepLines/>
      <w:spacing w:before="240" w:line="259" w:lineRule="auto"/>
      <w:outlineLvl w:val="0"/>
    </w:pPr>
    <w:rPr>
      <w:rFonts w:asciiTheme="majorHAnsi" w:eastAsiaTheme="majorEastAsia" w:hAnsiTheme="majorHAnsi" w:cstheme="majorBidi"/>
      <w:color w:val="2F5496" w:themeColor="accent1" w:themeShade="BF"/>
      <w:kern w:val="0"/>
      <w:sz w:val="32"/>
      <w:szCs w:val="32"/>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rFonts w:ascii="Cambria" w:eastAsia="Cambria" w:hAnsi="Cambria" w:cs="Cambria"/>
      <w:kern w:val="0"/>
      <w:sz w:val="20"/>
      <w:szCs w:val="20"/>
      <w:lang w:val="en-GB" w:eastAsia="en-US"/>
      <w14:ligatures w14:val="none"/>
    </w:rPr>
  </w:style>
  <w:style w:type="character" w:styleId="Hyperlink">
    <w:name w:val="Hyperlink"/>
    <w:basedOn w:val="DefaultParagraphFont"/>
    <w:uiPriority w:val="99"/>
    <w:unhideWhenUsed/>
    <w:rPr>
      <w:color w:val="0563C1" w:themeColor="hyperlink"/>
      <w:u w:val="single"/>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uiPriority w:val="39"/>
    <w:unhideWhenUsed/>
    <w:pPr>
      <w:spacing w:before="120"/>
    </w:pPr>
    <w:rPr>
      <w:rFonts w:cstheme="minorHAnsi"/>
      <w:b/>
      <w:bCs/>
      <w:i/>
      <w:iCs/>
    </w:rPr>
  </w:style>
  <w:style w:type="paragraph" w:styleId="TOC2">
    <w:name w:val="toc 2"/>
    <w:basedOn w:val="Normal"/>
    <w:next w:val="Normal"/>
    <w:uiPriority w:val="39"/>
    <w:semiHidden/>
    <w:unhideWhenUsed/>
    <w:pPr>
      <w:spacing w:before="120"/>
      <w:ind w:left="240"/>
    </w:pPr>
    <w:rPr>
      <w:rFonts w:cstheme="minorHAnsi"/>
      <w:b/>
      <w:bCs/>
      <w:sz w:val="22"/>
      <w:szCs w:val="22"/>
    </w:rPr>
  </w:style>
  <w:style w:type="paragraph" w:styleId="TOC3">
    <w:name w:val="toc 3"/>
    <w:basedOn w:val="Normal"/>
    <w:next w:val="Normal"/>
    <w:uiPriority w:val="39"/>
    <w:semiHidden/>
    <w:unhideWhenUsed/>
    <w:pPr>
      <w:ind w:left="480"/>
    </w:pPr>
    <w:rPr>
      <w:rFonts w:cstheme="minorHAnsi"/>
      <w:sz w:val="20"/>
      <w:szCs w:val="20"/>
    </w:rPr>
  </w:style>
  <w:style w:type="paragraph" w:styleId="TOC4">
    <w:name w:val="toc 4"/>
    <w:basedOn w:val="Normal"/>
    <w:next w:val="Normal"/>
    <w:uiPriority w:val="39"/>
    <w:semiHidden/>
    <w:unhideWhenUsed/>
    <w:pPr>
      <w:ind w:left="720"/>
    </w:pPr>
    <w:rPr>
      <w:rFonts w:cstheme="minorHAnsi"/>
      <w:sz w:val="20"/>
      <w:szCs w:val="20"/>
    </w:rPr>
  </w:style>
  <w:style w:type="paragraph" w:styleId="TOC5">
    <w:name w:val="toc 5"/>
    <w:basedOn w:val="Normal"/>
    <w:next w:val="Normal"/>
    <w:uiPriority w:val="39"/>
    <w:semiHidden/>
    <w:unhideWhenUsed/>
    <w:pPr>
      <w:ind w:left="960"/>
    </w:pPr>
    <w:rPr>
      <w:rFonts w:cstheme="minorHAnsi"/>
      <w:sz w:val="20"/>
      <w:szCs w:val="20"/>
    </w:rPr>
  </w:style>
  <w:style w:type="paragraph" w:styleId="TOC6">
    <w:name w:val="toc 6"/>
    <w:basedOn w:val="Normal"/>
    <w:next w:val="Normal"/>
    <w:uiPriority w:val="39"/>
    <w:semiHidden/>
    <w:unhideWhenUsed/>
    <w:pPr>
      <w:ind w:left="1200"/>
    </w:pPr>
    <w:rPr>
      <w:rFonts w:cstheme="minorHAnsi"/>
      <w:sz w:val="20"/>
      <w:szCs w:val="20"/>
    </w:rPr>
  </w:style>
  <w:style w:type="paragraph" w:styleId="TOC7">
    <w:name w:val="toc 7"/>
    <w:basedOn w:val="Normal"/>
    <w:next w:val="Normal"/>
    <w:uiPriority w:val="39"/>
    <w:semiHidden/>
    <w:unhideWhenUsed/>
    <w:pPr>
      <w:ind w:left="1440"/>
    </w:pPr>
    <w:rPr>
      <w:rFonts w:cstheme="minorHAnsi"/>
      <w:sz w:val="20"/>
      <w:szCs w:val="20"/>
    </w:rPr>
  </w:style>
  <w:style w:type="paragraph" w:styleId="TOC8">
    <w:name w:val="toc 8"/>
    <w:basedOn w:val="Normal"/>
    <w:next w:val="Normal"/>
    <w:uiPriority w:val="39"/>
    <w:semiHidden/>
    <w:unhideWhenUsed/>
    <w:pPr>
      <w:ind w:left="1680"/>
    </w:pPr>
    <w:rPr>
      <w:rFonts w:cstheme="minorHAnsi"/>
      <w:sz w:val="20"/>
      <w:szCs w:val="20"/>
    </w:rPr>
  </w:style>
  <w:style w:type="paragraph" w:styleId="TOC9">
    <w:name w:val="toc 9"/>
    <w:basedOn w:val="Normal"/>
    <w:next w:val="Normal"/>
    <w:uiPriority w:val="39"/>
    <w:semiHidden/>
    <w:unhideWhenUsed/>
    <w:pPr>
      <w:ind w:left="1920"/>
    </w:pPr>
    <w:rPr>
      <w:rFonts w:cstheme="minorHAnsi"/>
      <w:sz w:val="20"/>
      <w:szCs w:val="20"/>
    </w:rPr>
  </w:style>
  <w:style w:type="character" w:customStyle="1" w:styleId="CommentTextChar">
    <w:name w:val="Comment Text Char"/>
    <w:basedOn w:val="DefaultParagraphFont"/>
    <w:link w:val="CommentText"/>
    <w:uiPriority w:val="99"/>
    <w:semiHidden/>
    <w:rPr>
      <w:rFonts w:ascii="Cambria" w:eastAsia="Cambria" w:hAnsi="Cambria" w:cs="Cambria"/>
      <w:kern w:val="0"/>
      <w:sz w:val="20"/>
      <w:szCs w:val="20"/>
      <w:lang w:val="en-GB" w:eastAsia="en-US"/>
      <w14:ligatures w14:val="none"/>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kern w:val="0"/>
      <w:sz w:val="32"/>
      <w:szCs w:val="32"/>
      <w:lang w:val="en-US" w:eastAsia="en-US"/>
      <w14:ligatures w14:val="none"/>
    </w:rPr>
  </w:style>
  <w:style w:type="paragraph" w:customStyle="1" w:styleId="TOCHeading1">
    <w:name w:val="TOC Heading1"/>
    <w:basedOn w:val="Heading1"/>
    <w:next w:val="Normal"/>
    <w:uiPriority w:val="39"/>
    <w:unhideWhenUsed/>
    <w:qFormat/>
    <w:pPr>
      <w:spacing w:before="480" w:line="276" w:lineRule="auto"/>
      <w:outlineLvl w:val="9"/>
    </w:pPr>
    <w:rPr>
      <w:b/>
      <w:bCs/>
      <w:sz w:val="28"/>
      <w:szCs w:val="28"/>
    </w:rPr>
  </w:style>
  <w:style w:type="paragraph" w:styleId="Revision">
    <w:name w:val="Revision"/>
    <w:hidden/>
    <w:uiPriority w:val="99"/>
    <w:unhideWhenUsed/>
    <w:rsid w:val="00D32D88"/>
    <w:rPr>
      <w:kern w:val="2"/>
      <w:sz w:val="24"/>
      <w:szCs w:val="24"/>
      <w:lang w:val="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.~WRD0000</Template>
  <TotalTime>10</TotalTime>
  <Pages>2</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Zhihan</dc:creator>
  <cp:lastModifiedBy>Zhihan Jiang</cp:lastModifiedBy>
  <cp:revision>15</cp:revision>
  <dcterms:created xsi:type="dcterms:W3CDTF">2023-09-27T23:01:00Z</dcterms:created>
  <dcterms:modified xsi:type="dcterms:W3CDTF">2024-08-19T10:38:00Z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1033-6.2.2.8394</vt:lpwstr>
  </property>
  <property fmtid="{D5CDD505-2E9C-101B-9397-08002B2CF9AE}" pid="3" name="ICV">
    <vt:lpwstr>221020D72DDC76052C6353658522560B_42</vt:lpwstr>
  </property>
</Properties>
</file>