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32839" w14:textId="77777777" w:rsidR="00B1591A" w:rsidRPr="00A1504F" w:rsidRDefault="00B1591A" w:rsidP="00B1591A">
      <w:pPr>
        <w:keepNext/>
        <w:keepLines/>
        <w:spacing w:before="240" w:after="0" w:line="480" w:lineRule="auto"/>
        <w:jc w:val="both"/>
        <w:outlineLvl w:val="0"/>
        <w:rPr>
          <w:rFonts w:ascii="Times New Roman" w:eastAsia="MS Gothic" w:hAnsi="Times New Roman" w:cs="Times New Roman"/>
          <w:b/>
          <w:caps/>
          <w:color w:val="262626"/>
          <w:sz w:val="28"/>
          <w:szCs w:val="32"/>
        </w:rPr>
      </w:pPr>
      <w:r w:rsidRPr="00A1504F">
        <w:rPr>
          <w:rFonts w:ascii="Times New Roman" w:eastAsia="MS Gothic" w:hAnsi="Times New Roman" w:cs="Times New Roman"/>
          <w:b/>
          <w:caps/>
          <w:color w:val="262626"/>
          <w:sz w:val="28"/>
          <w:szCs w:val="32"/>
        </w:rPr>
        <w:t>Supplementary information</w:t>
      </w:r>
    </w:p>
    <w:p w14:paraId="3AEB06EC" w14:textId="77777777" w:rsidR="00B1591A" w:rsidRPr="00A1504F" w:rsidRDefault="00B1591A" w:rsidP="00B1591A">
      <w:pPr>
        <w:keepNext/>
        <w:keepLines/>
        <w:spacing w:before="40" w:after="0" w:line="480" w:lineRule="auto"/>
        <w:jc w:val="both"/>
        <w:outlineLvl w:val="2"/>
        <w:rPr>
          <w:rFonts w:ascii="Times New Roman" w:eastAsia="MS Gothic" w:hAnsi="Times New Roman" w:cs="Times New Roman"/>
          <w:color w:val="0D0D0D"/>
          <w:sz w:val="28"/>
          <w:szCs w:val="24"/>
        </w:rPr>
      </w:pPr>
      <w:r w:rsidRPr="00A1504F">
        <w:rPr>
          <w:rFonts w:ascii="Times New Roman" w:eastAsia="MS Gothic" w:hAnsi="Times New Roman" w:cs="Times New Roman"/>
          <w:color w:val="0D0D0D"/>
          <w:sz w:val="28"/>
          <w:szCs w:val="24"/>
        </w:rPr>
        <w:t>Supplementary Table 1. The HYPERMARKER cohorts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435"/>
        <w:gridCol w:w="1526"/>
        <w:gridCol w:w="1751"/>
        <w:gridCol w:w="2126"/>
        <w:gridCol w:w="2178"/>
      </w:tblGrid>
      <w:tr w:rsidR="00B1591A" w:rsidRPr="00A1504F" w14:paraId="7E3A1848" w14:textId="77777777" w:rsidTr="001D6ADF">
        <w:tc>
          <w:tcPr>
            <w:tcW w:w="0" w:type="auto"/>
          </w:tcPr>
          <w:p w14:paraId="65755B02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2313C4F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Atrial Fibrillation in High-Risk Individuals (AFHRI)</w:t>
            </w:r>
          </w:p>
        </w:tc>
        <w:tc>
          <w:tcPr>
            <w:tcW w:w="0" w:type="auto"/>
          </w:tcPr>
          <w:p w14:paraId="15E381B6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The Alpha Omega Cohort (AOC)</w:t>
            </w:r>
          </w:p>
        </w:tc>
        <w:tc>
          <w:tcPr>
            <w:tcW w:w="0" w:type="auto"/>
          </w:tcPr>
          <w:p w14:paraId="53F3E2E1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Utrecht Cardiovascular Cohorts – Second Manifestations of Arterial Disease (UCC-SMART)</w:t>
            </w:r>
          </w:p>
        </w:tc>
        <w:tc>
          <w:tcPr>
            <w:tcW w:w="0" w:type="auto"/>
          </w:tcPr>
          <w:p w14:paraId="4E53C1AE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Precision Hypertension Care (PHYSIC)</w:t>
            </w:r>
          </w:p>
        </w:tc>
      </w:tr>
      <w:tr w:rsidR="00B1591A" w:rsidRPr="00A1504F" w14:paraId="15D310CF" w14:textId="77777777" w:rsidTr="001D6ADF">
        <w:tc>
          <w:tcPr>
            <w:tcW w:w="0" w:type="auto"/>
          </w:tcPr>
          <w:p w14:paraId="15C28DD3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Population</w:t>
            </w:r>
          </w:p>
        </w:tc>
        <w:tc>
          <w:tcPr>
            <w:tcW w:w="0" w:type="auto"/>
          </w:tcPr>
          <w:p w14:paraId="63C7A14E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Patients aged 18-85yrs referred to secondary care outpatient cardiology clinics</w:t>
            </w:r>
          </w:p>
        </w:tc>
        <w:tc>
          <w:tcPr>
            <w:tcW w:w="0" w:type="auto"/>
          </w:tcPr>
          <w:p w14:paraId="7C841C60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Aged 60-80 years old, with a verified history of myocardial infarction during the 10 years prior to study enrolment</w:t>
            </w:r>
          </w:p>
        </w:tc>
        <w:tc>
          <w:tcPr>
            <w:tcW w:w="0" w:type="auto"/>
          </w:tcPr>
          <w:p w14:paraId="7341966B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Patients aged 18–90 years referred to secondary care for the management of cardiovascular disease or severe cardiovascular risk factors</w:t>
            </w:r>
          </w:p>
        </w:tc>
        <w:tc>
          <w:tcPr>
            <w:tcW w:w="0" w:type="auto"/>
          </w:tcPr>
          <w:p w14:paraId="36347757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Patients aged 40-75yrs, with mild hypertension 5-yrs prior to start of trial &amp; untreated or on monotherapy at inclusion with a SBP of 140 and 179 mmHg at randomisation.</w:t>
            </w:r>
          </w:p>
        </w:tc>
      </w:tr>
      <w:tr w:rsidR="00B1591A" w:rsidRPr="00A1504F" w14:paraId="5B17BB10" w14:textId="77777777" w:rsidTr="001D6ADF">
        <w:tc>
          <w:tcPr>
            <w:tcW w:w="0" w:type="auto"/>
          </w:tcPr>
          <w:p w14:paraId="5D38A49F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Study design</w:t>
            </w:r>
          </w:p>
        </w:tc>
        <w:tc>
          <w:tcPr>
            <w:tcW w:w="0" w:type="auto"/>
          </w:tcPr>
          <w:p w14:paraId="61105647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Prospective, single-centre cohort study</w:t>
            </w:r>
          </w:p>
        </w:tc>
        <w:tc>
          <w:tcPr>
            <w:tcW w:w="0" w:type="auto"/>
          </w:tcPr>
          <w:p w14:paraId="4ACADEEC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Multi-centre randomised double-blind placebo-controlled trial  </w:t>
            </w:r>
          </w:p>
          <w:p w14:paraId="63D6EA9C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Intervention: 400 mg/day EPA-DHA and/or 2 g/day ALA</w:t>
            </w:r>
          </w:p>
        </w:tc>
        <w:tc>
          <w:tcPr>
            <w:tcW w:w="0" w:type="auto"/>
          </w:tcPr>
          <w:p w14:paraId="46F34B92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Prospective single-centre cohort study</w:t>
            </w:r>
          </w:p>
        </w:tc>
        <w:tc>
          <w:tcPr>
            <w:tcW w:w="0" w:type="auto"/>
          </w:tcPr>
          <w:p w14:paraId="7EA70544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Single-centre, double-blind, randomised, repeated cross-over trial</w:t>
            </w:r>
          </w:p>
          <w:p w14:paraId="6881EAC0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Intervention: Four blood pressure-lowering drugs as monotherapy</w:t>
            </w:r>
          </w:p>
        </w:tc>
      </w:tr>
      <w:tr w:rsidR="00B1591A" w:rsidRPr="00A1504F" w14:paraId="036EB4A9" w14:textId="77777777" w:rsidTr="001D6ADF">
        <w:tc>
          <w:tcPr>
            <w:tcW w:w="0" w:type="auto"/>
          </w:tcPr>
          <w:p w14:paraId="3870438F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Country</w:t>
            </w: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0" w:type="auto"/>
          </w:tcPr>
          <w:p w14:paraId="45DC8A42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0" w:type="auto"/>
          </w:tcPr>
          <w:p w14:paraId="38B0E07E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Netherlands</w:t>
            </w:r>
          </w:p>
        </w:tc>
        <w:tc>
          <w:tcPr>
            <w:tcW w:w="0" w:type="auto"/>
          </w:tcPr>
          <w:p w14:paraId="74A1056E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Netherlands</w:t>
            </w:r>
          </w:p>
        </w:tc>
        <w:tc>
          <w:tcPr>
            <w:tcW w:w="0" w:type="auto"/>
          </w:tcPr>
          <w:p w14:paraId="605A4DFC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Sweden</w:t>
            </w:r>
          </w:p>
        </w:tc>
      </w:tr>
      <w:tr w:rsidR="00B1591A" w:rsidRPr="00A1504F" w14:paraId="1DFE6651" w14:textId="77777777" w:rsidTr="001D6ADF">
        <w:tc>
          <w:tcPr>
            <w:tcW w:w="0" w:type="auto"/>
          </w:tcPr>
          <w:p w14:paraId="49157164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Collection period for metabolomic samples used</w:t>
            </w:r>
          </w:p>
        </w:tc>
        <w:tc>
          <w:tcPr>
            <w:tcW w:w="0" w:type="auto"/>
          </w:tcPr>
          <w:p w14:paraId="56ABD36E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2017-2022</w:t>
            </w:r>
          </w:p>
        </w:tc>
        <w:tc>
          <w:tcPr>
            <w:tcW w:w="0" w:type="auto"/>
          </w:tcPr>
          <w:p w14:paraId="18DB1574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2002-2006</w:t>
            </w:r>
          </w:p>
        </w:tc>
        <w:tc>
          <w:tcPr>
            <w:tcW w:w="0" w:type="auto"/>
          </w:tcPr>
          <w:p w14:paraId="27D2CB99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2008-2024</w:t>
            </w:r>
          </w:p>
        </w:tc>
        <w:tc>
          <w:tcPr>
            <w:tcW w:w="0" w:type="auto"/>
          </w:tcPr>
          <w:p w14:paraId="5CD978DC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2017-2020</w:t>
            </w:r>
          </w:p>
        </w:tc>
      </w:tr>
      <w:tr w:rsidR="00B1591A" w:rsidRPr="00A1504F" w14:paraId="082E4530" w14:textId="77777777" w:rsidTr="001D6ADF">
        <w:tc>
          <w:tcPr>
            <w:tcW w:w="0" w:type="auto"/>
          </w:tcPr>
          <w:p w14:paraId="43A7F576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Blood Pressure variables</w:t>
            </w:r>
          </w:p>
        </w:tc>
        <w:tc>
          <w:tcPr>
            <w:tcW w:w="0" w:type="auto"/>
          </w:tcPr>
          <w:p w14:paraId="1D808703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Repeated office blood pressure</w:t>
            </w:r>
          </w:p>
        </w:tc>
        <w:tc>
          <w:tcPr>
            <w:tcW w:w="0" w:type="auto"/>
          </w:tcPr>
          <w:p w14:paraId="66C83B14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Repeated office blood pressure</w:t>
            </w:r>
          </w:p>
        </w:tc>
        <w:tc>
          <w:tcPr>
            <w:tcW w:w="0" w:type="auto"/>
          </w:tcPr>
          <w:p w14:paraId="2A8F68ED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Repeated office blood pressure</w:t>
            </w:r>
          </w:p>
        </w:tc>
        <w:tc>
          <w:tcPr>
            <w:tcW w:w="0" w:type="auto"/>
          </w:tcPr>
          <w:p w14:paraId="5AB90CD6" w14:textId="77777777" w:rsidR="00B1591A" w:rsidRPr="00A1504F" w:rsidRDefault="00B1591A" w:rsidP="001D6ADF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04F">
              <w:rPr>
                <w:rFonts w:ascii="Times New Roman" w:eastAsia="Times New Roman" w:hAnsi="Times New Roman" w:cs="Times New Roman"/>
                <w:sz w:val="20"/>
                <w:szCs w:val="20"/>
              </w:rPr>
              <w:t>Repeated office and ambulatory blood pressure</w:t>
            </w:r>
          </w:p>
        </w:tc>
      </w:tr>
    </w:tbl>
    <w:p w14:paraId="7220F4F0" w14:textId="77777777" w:rsidR="00B1591A" w:rsidRPr="00A1504F" w:rsidRDefault="00B1591A" w:rsidP="00B1591A">
      <w:pPr>
        <w:spacing w:after="120" w:line="480" w:lineRule="auto"/>
        <w:jc w:val="both"/>
        <w:rPr>
          <w:rFonts w:ascii="Times New Roman" w:eastAsia="Times New Roman" w:hAnsi="Times New Roman" w:cs="Times New Roman"/>
          <w:i/>
          <w:iCs/>
          <w:sz w:val="24"/>
        </w:rPr>
      </w:pPr>
      <w:r w:rsidRPr="00A1504F">
        <w:rPr>
          <w:rFonts w:ascii="Times New Roman" w:eastAsia="Times New Roman" w:hAnsi="Times New Roman" w:cs="Times New Roman"/>
          <w:i/>
          <w:iCs/>
          <w:sz w:val="24"/>
        </w:rPr>
        <w:t xml:space="preserve">EPA-DHA, Eicosapentaenoic Acid-Docosahexaenoic Acid; ALA, alphalinolenic acid </w:t>
      </w:r>
      <w:r w:rsidRPr="00A1504F">
        <w:rPr>
          <w:rFonts w:ascii="Times New Roman" w:eastAsia="Times New Roman" w:hAnsi="Times New Roman" w:cs="Times New Roman"/>
          <w:i/>
          <w:iCs/>
          <w:sz w:val="24"/>
        </w:rPr>
        <w:br w:type="page"/>
      </w:r>
    </w:p>
    <w:p w14:paraId="7561855C" w14:textId="77777777" w:rsidR="00B1591A" w:rsidRPr="00A1504F" w:rsidRDefault="00B1591A" w:rsidP="00B1591A">
      <w:pPr>
        <w:keepNext/>
        <w:keepLines/>
        <w:spacing w:before="40" w:after="0" w:line="480" w:lineRule="auto"/>
        <w:jc w:val="both"/>
        <w:outlineLvl w:val="2"/>
        <w:rPr>
          <w:rFonts w:ascii="Times New Roman" w:eastAsia="MS Gothic" w:hAnsi="Times New Roman" w:cs="Times New Roman"/>
          <w:color w:val="0D0D0D"/>
          <w:sz w:val="28"/>
          <w:szCs w:val="24"/>
        </w:rPr>
      </w:pPr>
      <w:r w:rsidRPr="00A1504F">
        <w:rPr>
          <w:rFonts w:ascii="Times New Roman" w:eastAsia="MS Gothic" w:hAnsi="Times New Roman" w:cs="Times New Roman"/>
          <w:color w:val="0D0D0D"/>
          <w:sz w:val="28"/>
          <w:szCs w:val="24"/>
        </w:rPr>
        <w:lastRenderedPageBreak/>
        <w:t>Supplementary Table 2. Outcomes of the HYPERMARKER trial</w:t>
      </w:r>
    </w:p>
    <w:tbl>
      <w:tblPr>
        <w:tblStyle w:val="TableGrid1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B1591A" w:rsidRPr="00A1504F" w14:paraId="4DF1A67B" w14:textId="77777777" w:rsidTr="001D6ADF">
        <w:tc>
          <w:tcPr>
            <w:tcW w:w="9356" w:type="dxa"/>
          </w:tcPr>
          <w:p w14:paraId="39460319" w14:textId="77777777" w:rsidR="00B1591A" w:rsidRPr="00A1504F" w:rsidRDefault="00B1591A" w:rsidP="001D6ADF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Primary outcome</w:t>
            </w:r>
          </w:p>
        </w:tc>
      </w:tr>
      <w:tr w:rsidR="00B1591A" w:rsidRPr="00A1504F" w14:paraId="0DE4CAF3" w14:textId="77777777" w:rsidTr="001D6ADF">
        <w:tc>
          <w:tcPr>
            <w:tcW w:w="9356" w:type="dxa"/>
          </w:tcPr>
          <w:p w14:paraId="4A8C92B3" w14:textId="77777777" w:rsidR="00B1591A" w:rsidRPr="00A1504F" w:rsidRDefault="00B1591A" w:rsidP="001D6ADF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 xml:space="preserve">Change in home SBP will be derived from all available patient-measured SBP recordings in the study smartphone application, comparing the intervention and standard of care groups at the end of the first phase of the trial.  This includes 1-week of monitoring after enrolment (anticipated minimum of 12 recordings) and at least 4-weeks of monitoring after therapy change (anticipated minimum of 48 recordings).  </w:t>
            </w:r>
          </w:p>
        </w:tc>
      </w:tr>
      <w:tr w:rsidR="00B1591A" w:rsidRPr="00A1504F" w14:paraId="50C2E1E0" w14:textId="77777777" w:rsidTr="001D6ADF">
        <w:tc>
          <w:tcPr>
            <w:tcW w:w="9356" w:type="dxa"/>
          </w:tcPr>
          <w:p w14:paraId="1D4A91AA" w14:textId="77777777" w:rsidR="00B1591A" w:rsidRPr="00A1504F" w:rsidRDefault="00B1591A" w:rsidP="001D6ADF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Secondary outcomes</w:t>
            </w:r>
          </w:p>
        </w:tc>
      </w:tr>
      <w:tr w:rsidR="00B1591A" w:rsidRPr="00A1504F" w14:paraId="6E07D9E8" w14:textId="77777777" w:rsidTr="001D6ADF">
        <w:tc>
          <w:tcPr>
            <w:tcW w:w="9356" w:type="dxa"/>
          </w:tcPr>
          <w:p w14:paraId="5F603447" w14:textId="77777777" w:rsidR="00B1591A" w:rsidRPr="00A1504F" w:rsidRDefault="00B1591A" w:rsidP="001D6ADF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The following secondary outcomes will compare the pharmacometabolomic-guided drug class approach and standard of care groups at the end of the first phase of the trial:</w:t>
            </w:r>
          </w:p>
          <w:p w14:paraId="08C262D6" w14:textId="77777777" w:rsidR="00B1591A" w:rsidRPr="00A1504F" w:rsidRDefault="00B1591A" w:rsidP="001D6ADF">
            <w:pPr>
              <w:numPr>
                <w:ilvl w:val="0"/>
                <w:numId w:val="3"/>
              </w:num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Proportion of participants achieving a target home SBP of 120–129mmHg using the average of the final 3 days of blood pressure measurements.</w:t>
            </w:r>
          </w:p>
          <w:p w14:paraId="24565375" w14:textId="77777777" w:rsidR="00B1591A" w:rsidRPr="00A1504F" w:rsidRDefault="00B1591A" w:rsidP="001D6ADF">
            <w:pPr>
              <w:numPr>
                <w:ilvl w:val="0"/>
                <w:numId w:val="3"/>
              </w:num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Proportion of participants reporting any treatment-related adverse effects compiled from the Summary of Product Characteristics from the different classes of anti-hypertensive medications.</w:t>
            </w:r>
          </w:p>
          <w:p w14:paraId="1ECC6D52" w14:textId="77777777" w:rsidR="00B1591A" w:rsidRPr="00A1504F" w:rsidRDefault="00B1591A" w:rsidP="001D6ADF">
            <w:pPr>
              <w:numPr>
                <w:ilvl w:val="0"/>
                <w:numId w:val="3"/>
              </w:num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 xml:space="preserve">Proportion of participants reporting withdrawal of an anti-hypertensive medication. </w:t>
            </w:r>
          </w:p>
          <w:p w14:paraId="238AB703" w14:textId="77777777" w:rsidR="00B1591A" w:rsidRPr="00A1504F" w:rsidRDefault="00B1591A" w:rsidP="001D6ADF">
            <w:pPr>
              <w:numPr>
                <w:ilvl w:val="0"/>
                <w:numId w:val="3"/>
              </w:num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Proportion of participants reporting ≥90% adherence to prescribed anti-hypertensive medication.</w:t>
            </w:r>
          </w:p>
          <w:p w14:paraId="1B9BA7DD" w14:textId="77777777" w:rsidR="00B1591A" w:rsidRPr="00A1504F" w:rsidRDefault="00B1591A" w:rsidP="001D6ADF">
            <w:pPr>
              <w:numPr>
                <w:ilvl w:val="0"/>
                <w:numId w:val="3"/>
              </w:num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Rate of change in home SBP using all available SBP measurements, averaged per week.</w:t>
            </w:r>
          </w:p>
          <w:p w14:paraId="3D837E7C" w14:textId="77777777" w:rsidR="00B1591A" w:rsidRPr="00A1504F" w:rsidRDefault="00B1591A" w:rsidP="001D6ADF">
            <w:pPr>
              <w:numPr>
                <w:ilvl w:val="0"/>
                <w:numId w:val="3"/>
              </w:num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Change in home diastolic blood pressure derived from all available blood pressure recordings.</w:t>
            </w:r>
          </w:p>
          <w:p w14:paraId="78983389" w14:textId="77777777" w:rsidR="00B1591A" w:rsidRPr="00A1504F" w:rsidRDefault="00B1591A" w:rsidP="001D6ADF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The following secondary outcomes will separately compare the original intervention, updated intervention and standard of care groups at the end of the second phase of the trial:</w:t>
            </w:r>
          </w:p>
          <w:p w14:paraId="01FDFC78" w14:textId="77777777" w:rsidR="00B1591A" w:rsidRPr="00A1504F" w:rsidRDefault="00B1591A" w:rsidP="001D6ADF">
            <w:pPr>
              <w:numPr>
                <w:ilvl w:val="0"/>
                <w:numId w:val="2"/>
              </w:num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Change in home SBP using all available SBP measurements, comparing the iterated pharmacometabolomic approach versus the initial pharmacometabolomic approach, and the iterated pharmacometabolomic approach versus initial standard of care.</w:t>
            </w:r>
          </w:p>
          <w:p w14:paraId="07CB3813" w14:textId="77777777" w:rsidR="00B1591A" w:rsidRPr="00A1504F" w:rsidRDefault="00B1591A" w:rsidP="001D6ADF">
            <w:pPr>
              <w:numPr>
                <w:ilvl w:val="0"/>
                <w:numId w:val="2"/>
              </w:num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Patient-reported treatment-related side effects, comparing the iterated pharmacometabolomic approach versus the initial pharmacometabolomic approach, and the iterated pharmacometabolomic approach versus initial standard of care.</w:t>
            </w:r>
          </w:p>
          <w:p w14:paraId="1A32F864" w14:textId="77777777" w:rsidR="00B1591A" w:rsidRPr="00A1504F" w:rsidRDefault="00B1591A" w:rsidP="001D6ADF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The following outcomes will apply across the phases of the trial comparing any pharmacometabolomic approach versus standard of care:</w:t>
            </w:r>
          </w:p>
          <w:p w14:paraId="306FC360" w14:textId="77777777" w:rsidR="00B1591A" w:rsidRPr="00A1504F" w:rsidRDefault="00B1591A" w:rsidP="001D6ADF">
            <w:pPr>
              <w:numPr>
                <w:ilvl w:val="0"/>
                <w:numId w:val="1"/>
              </w:num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Proportion and number of serious adverse events, including all-cause hospitalisation and death.</w:t>
            </w:r>
          </w:p>
          <w:p w14:paraId="4AA7072A" w14:textId="77777777" w:rsidR="00B1591A" w:rsidRPr="00A1504F" w:rsidRDefault="00B1591A" w:rsidP="001D6ADF">
            <w:pPr>
              <w:numPr>
                <w:ilvl w:val="0"/>
                <w:numId w:val="1"/>
              </w:num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Proportion and number of healthcare utilisation events, including details on hospitalisation (frequency, cause, type [outpatient, emergency, admission] and length of stay) and primary care interaction (frequency, cause and type [doctor, nurse, other allied health professional]).</w:t>
            </w:r>
          </w:p>
          <w:p w14:paraId="04CAAAD1" w14:textId="77777777" w:rsidR="00B1591A" w:rsidRPr="00A1504F" w:rsidRDefault="00B1591A" w:rsidP="001D6ADF">
            <w:pPr>
              <w:numPr>
                <w:ilvl w:val="0"/>
                <w:numId w:val="1"/>
              </w:num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Patient-reported quality of life using the EQ-5D-5L summary index score and visual analogue scale.</w:t>
            </w:r>
          </w:p>
        </w:tc>
      </w:tr>
      <w:tr w:rsidR="00B1591A" w:rsidRPr="00A1504F" w14:paraId="26F052D1" w14:textId="77777777" w:rsidTr="001D6ADF">
        <w:tc>
          <w:tcPr>
            <w:tcW w:w="9356" w:type="dxa"/>
          </w:tcPr>
          <w:p w14:paraId="3E3F8C26" w14:textId="77777777" w:rsidR="00B1591A" w:rsidRPr="00A1504F" w:rsidRDefault="00B1591A" w:rsidP="001D6ADF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Health Economics Outcomes</w:t>
            </w:r>
          </w:p>
        </w:tc>
      </w:tr>
      <w:tr w:rsidR="00B1591A" w:rsidRPr="00A1504F" w14:paraId="31BEC0D2" w14:textId="77777777" w:rsidTr="001D6ADF">
        <w:tc>
          <w:tcPr>
            <w:tcW w:w="9356" w:type="dxa"/>
          </w:tcPr>
          <w:p w14:paraId="6CA5DA90" w14:textId="77777777" w:rsidR="00B1591A" w:rsidRPr="00A1504F" w:rsidRDefault="00B1591A" w:rsidP="001D6ADF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A separate health economics analysis will be conducted comparing any pharmacometabolomic approach versus standard of care to determine the net monetary benefit, incremental cost-effectiveness ratios, the cost-effectiveness planes and the cost-effectiveness acceptability curves, discounted at recommended values.</w:t>
            </w:r>
          </w:p>
        </w:tc>
      </w:tr>
      <w:tr w:rsidR="00B1591A" w:rsidRPr="00A1504F" w14:paraId="30C54EB2" w14:textId="77777777" w:rsidTr="001D6ADF">
        <w:tc>
          <w:tcPr>
            <w:tcW w:w="9356" w:type="dxa"/>
          </w:tcPr>
          <w:p w14:paraId="7DF81186" w14:textId="77777777" w:rsidR="00B1591A" w:rsidRPr="00A1504F" w:rsidRDefault="00B1591A" w:rsidP="001D6ADF">
            <w:pPr>
              <w:spacing w:after="120" w:line="48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>Exploratory Outcomes</w:t>
            </w:r>
          </w:p>
        </w:tc>
      </w:tr>
      <w:tr w:rsidR="00B1591A" w:rsidRPr="00A1504F" w14:paraId="5B4C7B78" w14:textId="77777777" w:rsidTr="001D6ADF">
        <w:tc>
          <w:tcPr>
            <w:tcW w:w="9356" w:type="dxa"/>
          </w:tcPr>
          <w:p w14:paraId="1C68D6D0" w14:textId="77777777" w:rsidR="00B1591A" w:rsidRPr="00A1504F" w:rsidRDefault="00B1591A" w:rsidP="001D6ADF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 xml:space="preserve">Change in metabolomic profile from baseline to (optional) follow-up blood sample, stratified by class of anti-hypertensive medication </w:t>
            </w:r>
          </w:p>
          <w:p w14:paraId="7D059C5C" w14:textId="77777777" w:rsidR="00B1591A" w:rsidRPr="00A1504F" w:rsidRDefault="00B1591A" w:rsidP="001D6ADF">
            <w:pPr>
              <w:numPr>
                <w:ilvl w:val="0"/>
                <w:numId w:val="4"/>
              </w:numPr>
              <w:spacing w:after="1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504F">
              <w:rPr>
                <w:rFonts w:ascii="Times New Roman" w:eastAsia="Times New Roman" w:hAnsi="Times New Roman" w:cs="Times New Roman"/>
                <w:sz w:val="24"/>
              </w:rPr>
              <w:t xml:space="preserve">Association between dietary intake, metabolomic profile and blood pressure response to prescribed antihypertensive treatment </w:t>
            </w:r>
          </w:p>
        </w:tc>
      </w:tr>
    </w:tbl>
    <w:p w14:paraId="202982C9" w14:textId="77777777" w:rsidR="00B1591A" w:rsidRDefault="00B1591A" w:rsidP="00B1591A">
      <w:r w:rsidRPr="00A1504F">
        <w:rPr>
          <w:rFonts w:ascii="Times New Roman" w:eastAsia="Times New Roman" w:hAnsi="Times New Roman" w:cs="Times New Roman"/>
          <w:i/>
          <w:iCs/>
          <w:sz w:val="24"/>
        </w:rPr>
        <w:t>SBP, systolic blood pressure; EQ-5D-5L, E</w:t>
      </w:r>
    </w:p>
    <w:p w14:paraId="0A8F6474" w14:textId="77777777" w:rsidR="00253E90" w:rsidRDefault="00253E90"/>
    <w:sectPr w:rsidR="00253E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D4988"/>
    <w:multiLevelType w:val="hybridMultilevel"/>
    <w:tmpl w:val="71B6E5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4E369D"/>
    <w:multiLevelType w:val="hybridMultilevel"/>
    <w:tmpl w:val="412ED6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80551B0"/>
    <w:multiLevelType w:val="hybridMultilevel"/>
    <w:tmpl w:val="EBF47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569095C"/>
    <w:multiLevelType w:val="hybridMultilevel"/>
    <w:tmpl w:val="5BDC7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812890">
    <w:abstractNumId w:val="0"/>
  </w:num>
  <w:num w:numId="2" w16cid:durableId="230047984">
    <w:abstractNumId w:val="2"/>
  </w:num>
  <w:num w:numId="3" w16cid:durableId="1653674268">
    <w:abstractNumId w:val="1"/>
  </w:num>
  <w:num w:numId="4" w16cid:durableId="743917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91A"/>
    <w:rsid w:val="00196A90"/>
    <w:rsid w:val="00253E90"/>
    <w:rsid w:val="00625BC8"/>
    <w:rsid w:val="00936DCC"/>
    <w:rsid w:val="00A37443"/>
    <w:rsid w:val="00B1591A"/>
    <w:rsid w:val="00E158FC"/>
    <w:rsid w:val="00F8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5EC46"/>
  <w15:chartTrackingRefBased/>
  <w15:docId w15:val="{72253A37-D363-44DC-AA29-03B794E9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91A"/>
  </w:style>
  <w:style w:type="paragraph" w:styleId="Heading1">
    <w:name w:val="heading 1"/>
    <w:basedOn w:val="Normal"/>
    <w:next w:val="Normal"/>
    <w:link w:val="Heading1Char"/>
    <w:uiPriority w:val="9"/>
    <w:qFormat/>
    <w:rsid w:val="00936D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6D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D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DCC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DCC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DCC"/>
    <w:pPr>
      <w:keepNext/>
      <w:keepLines/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DC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DCC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DC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DCC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36DCC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DCC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DCC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DCC"/>
    <w:rPr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DCC"/>
  </w:style>
  <w:style w:type="character" w:customStyle="1" w:styleId="Heading7Char">
    <w:name w:val="Heading 7 Char"/>
    <w:basedOn w:val="DefaultParagraphFont"/>
    <w:link w:val="Heading7"/>
    <w:uiPriority w:val="9"/>
    <w:semiHidden/>
    <w:rsid w:val="00936DC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DCC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DCC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36DC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36DC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6DCC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DCC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36DCC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936DCC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936DCC"/>
    <w:rPr>
      <w:i/>
      <w:iCs/>
      <w:color w:val="auto"/>
    </w:rPr>
  </w:style>
  <w:style w:type="paragraph" w:styleId="NoSpacing">
    <w:name w:val="No Spacing"/>
    <w:uiPriority w:val="1"/>
    <w:qFormat/>
    <w:rsid w:val="00936DC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36DC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36DCC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DC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DCC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DCC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936DC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36DCC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936DCC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936DCC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936DCC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36DCC"/>
    <w:pPr>
      <w:outlineLvl w:val="9"/>
    </w:pPr>
  </w:style>
  <w:style w:type="table" w:customStyle="1" w:styleId="TableGrid1">
    <w:name w:val="Table Grid1"/>
    <w:basedOn w:val="TableNormal"/>
    <w:next w:val="TableGrid"/>
    <w:uiPriority w:val="39"/>
    <w:rsid w:val="00B15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15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4167</Characters>
  <Application>Microsoft Office Word</Application>
  <DocSecurity>0</DocSecurity>
  <Lines>146</Lines>
  <Paragraphs>58</Paragraphs>
  <ScaleCrop>false</ScaleCrop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Chapman (Cardiovascular Sciences)</dc:creator>
  <cp:keywords/>
  <dc:description/>
  <cp:lastModifiedBy>Matthew Chapman (Cardiovascular Sciences)</cp:lastModifiedBy>
  <cp:revision>2</cp:revision>
  <dcterms:created xsi:type="dcterms:W3CDTF">2026-01-21T12:00:00Z</dcterms:created>
  <dcterms:modified xsi:type="dcterms:W3CDTF">2026-01-21T12:01:00Z</dcterms:modified>
</cp:coreProperties>
</file>