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A1563" w14:textId="77777777" w:rsidR="00662879" w:rsidRPr="00D13342" w:rsidRDefault="00662879" w:rsidP="00662879">
      <w:pPr>
        <w:spacing w:line="360" w:lineRule="auto"/>
        <w:jc w:val="both"/>
      </w:pPr>
      <w:r>
        <w:rPr>
          <w:b/>
          <w:bCs/>
          <w:sz w:val="28"/>
          <w:szCs w:val="28"/>
        </w:rPr>
        <w:t>Mapping</w:t>
      </w:r>
      <w:r w:rsidRPr="00D13342">
        <w:rPr>
          <w:b/>
          <w:bCs/>
          <w:sz w:val="28"/>
          <w:szCs w:val="28"/>
        </w:rPr>
        <w:t xml:space="preserve"> and characterization of a novel powdery mildew resistance locus (PM2) in </w:t>
      </w:r>
      <w:r>
        <w:rPr>
          <w:b/>
          <w:bCs/>
          <w:i/>
          <w:iCs/>
          <w:sz w:val="28"/>
          <w:szCs w:val="28"/>
        </w:rPr>
        <w:t>C</w:t>
      </w:r>
      <w:r w:rsidRPr="00D13342">
        <w:rPr>
          <w:b/>
          <w:bCs/>
          <w:i/>
          <w:iCs/>
          <w:sz w:val="28"/>
          <w:szCs w:val="28"/>
        </w:rPr>
        <w:t>annabis sativa</w:t>
      </w:r>
      <w:r w:rsidRPr="00D13342">
        <w:rPr>
          <w:b/>
          <w:bCs/>
          <w:sz w:val="28"/>
          <w:szCs w:val="28"/>
        </w:rPr>
        <w:t xml:space="preserve"> L.</w:t>
      </w:r>
      <w:r>
        <w:rPr>
          <w:b/>
          <w:bCs/>
          <w:sz w:val="28"/>
          <w:szCs w:val="28"/>
        </w:rPr>
        <w:t xml:space="preserve"> </w:t>
      </w:r>
    </w:p>
    <w:p w14:paraId="3D3333F5" w14:textId="13F4DCDC" w:rsidR="00662879" w:rsidRDefault="00662879" w:rsidP="00662879">
      <w:pPr>
        <w:spacing w:line="360" w:lineRule="auto"/>
        <w:jc w:val="both"/>
      </w:pPr>
      <w:r>
        <w:t>Soren Seifi</w:t>
      </w:r>
      <w:r w:rsidRPr="00C10FDD">
        <w:rPr>
          <w:vertAlign w:val="superscript"/>
        </w:rPr>
        <w:t>1</w:t>
      </w:r>
      <w:r>
        <w:rPr>
          <w:rFonts w:ascii="Calibri" w:hAnsi="Calibri" w:cs="Calibri"/>
        </w:rPr>
        <w:t>†</w:t>
      </w:r>
      <w:r>
        <w:t>, Keegan M. Leckie</w:t>
      </w:r>
      <w:r w:rsidRPr="00C10FDD">
        <w:rPr>
          <w:vertAlign w:val="superscript"/>
        </w:rPr>
        <w:t>1</w:t>
      </w:r>
      <w:r>
        <w:rPr>
          <w:rFonts w:ascii="Calibri" w:hAnsi="Calibri" w:cs="Calibri"/>
        </w:rPr>
        <w:t>†</w:t>
      </w:r>
      <w:r>
        <w:t>, Ingrid Giles</w:t>
      </w:r>
      <w:r w:rsidRPr="00FF4735">
        <w:rPr>
          <w:vertAlign w:val="superscript"/>
        </w:rPr>
        <w:t>1</w:t>
      </w:r>
      <w:r>
        <w:t>, Taylor O’Brien</w:t>
      </w:r>
      <w:r w:rsidRPr="00FF4735">
        <w:rPr>
          <w:vertAlign w:val="superscript"/>
        </w:rPr>
        <w:t>1</w:t>
      </w:r>
      <w:r>
        <w:t>, John O. MacKenzie</w:t>
      </w:r>
      <w:r w:rsidRPr="00FF4735">
        <w:rPr>
          <w:vertAlign w:val="superscript"/>
        </w:rPr>
        <w:t>1</w:t>
      </w:r>
      <w:r>
        <w:t>, Marco Todesco</w:t>
      </w:r>
      <w:r w:rsidRPr="00C10FDD">
        <w:rPr>
          <w:vertAlign w:val="superscript"/>
        </w:rPr>
        <w:t>2</w:t>
      </w:r>
      <w:r>
        <w:t>, Loren H. Rieseberg</w:t>
      </w:r>
      <w:r w:rsidRPr="00C10FDD">
        <w:rPr>
          <w:vertAlign w:val="superscript"/>
        </w:rPr>
        <w:t>2</w:t>
      </w:r>
      <w:r>
        <w:t>, Gregory J. Baute</w:t>
      </w:r>
      <w:r w:rsidRPr="00D23124">
        <w:rPr>
          <w:vertAlign w:val="superscript"/>
        </w:rPr>
        <w:t>3</w:t>
      </w:r>
      <w:r>
        <w:t>, Jose M. Celedon</w:t>
      </w:r>
      <w:r w:rsidRPr="00C10FDD">
        <w:rPr>
          <w:vertAlign w:val="superscript"/>
        </w:rPr>
        <w:t>1</w:t>
      </w:r>
      <w:r>
        <w:t>*</w:t>
      </w:r>
    </w:p>
    <w:p w14:paraId="11B05D63" w14:textId="77777777" w:rsidR="00CD1ECC" w:rsidRDefault="00CD1ECC" w:rsidP="00CD1ECC">
      <w:pPr>
        <w:spacing w:line="276" w:lineRule="auto"/>
        <w:jc w:val="both"/>
      </w:pPr>
      <w:r>
        <w:t>*Corresponding author</w:t>
      </w:r>
    </w:p>
    <w:p w14:paraId="01CC0DAD" w14:textId="707D4AED" w:rsidR="00CD1ECC" w:rsidRPr="00D13342" w:rsidRDefault="00CD1ECC" w:rsidP="00CD1ECC">
      <w:pPr>
        <w:spacing w:line="276" w:lineRule="auto"/>
        <w:jc w:val="both"/>
      </w:pPr>
      <w:r>
        <w:rPr>
          <w:rFonts w:ascii="Calibri" w:hAnsi="Calibri" w:cs="Calibri"/>
        </w:rPr>
        <w:t>†</w:t>
      </w:r>
      <w:r>
        <w:t xml:space="preserve"> </w:t>
      </w:r>
      <w:r w:rsidRPr="00D937C5">
        <w:t>These authors contributed equally to this work and share first authorship</w:t>
      </w:r>
    </w:p>
    <w:p w14:paraId="143387AF" w14:textId="77777777" w:rsidR="00C42992" w:rsidRDefault="00C42992" w:rsidP="00C42992">
      <w:pPr>
        <w:spacing w:line="276" w:lineRule="auto"/>
        <w:jc w:val="both"/>
        <w:rPr>
          <w:b/>
          <w:bCs/>
        </w:rPr>
      </w:pPr>
      <w:r>
        <w:rPr>
          <w:b/>
          <w:bCs/>
        </w:rPr>
        <w:t>Supplemental Material</w:t>
      </w:r>
    </w:p>
    <w:p w14:paraId="7F0B2537" w14:textId="6055D473" w:rsidR="00C42992" w:rsidRDefault="00C42992" w:rsidP="00C42992">
      <w:pPr>
        <w:spacing w:line="276" w:lineRule="auto"/>
        <w:jc w:val="both"/>
      </w:pPr>
      <w:r w:rsidRPr="00EA6554">
        <w:rPr>
          <w:b/>
          <w:bCs/>
        </w:rPr>
        <w:t>Supplemental Figure S</w:t>
      </w:r>
      <w:r w:rsidR="008E49B2">
        <w:rPr>
          <w:b/>
          <w:bCs/>
        </w:rPr>
        <w:t>1</w:t>
      </w:r>
      <w:r w:rsidR="00EA6554" w:rsidRPr="00EA6554">
        <w:rPr>
          <w:b/>
          <w:bCs/>
        </w:rPr>
        <w:t>.</w:t>
      </w:r>
      <w:r w:rsidRPr="00DC6616">
        <w:rPr>
          <w:sz w:val="21"/>
          <w:szCs w:val="21"/>
        </w:rPr>
        <w:t xml:space="preserve"> </w:t>
      </w:r>
      <w:r w:rsidRPr="00DC6616">
        <w:t xml:space="preserve">Mapping the PM2 locus using BSA in the </w:t>
      </w:r>
      <w:r w:rsidR="00BC53E6">
        <w:t xml:space="preserve">CS10 </w:t>
      </w:r>
      <w:proofErr w:type="spellStart"/>
      <w:r w:rsidRPr="00DC6616">
        <w:t>CBDRx</w:t>
      </w:r>
      <w:proofErr w:type="spellEnd"/>
      <w:r w:rsidRPr="00DC6616">
        <w:t xml:space="preserve"> reference genome.</w:t>
      </w:r>
    </w:p>
    <w:p w14:paraId="19D73515" w14:textId="33076C3A" w:rsidR="008E49B2" w:rsidRPr="00F131B8" w:rsidRDefault="008E49B2" w:rsidP="00C42992">
      <w:pPr>
        <w:spacing w:line="276" w:lineRule="auto"/>
        <w:jc w:val="both"/>
      </w:pPr>
      <w:r w:rsidRPr="00EA6554">
        <w:rPr>
          <w:b/>
          <w:bCs/>
        </w:rPr>
        <w:t>Supplemental Figure S</w:t>
      </w:r>
      <w:r>
        <w:rPr>
          <w:b/>
          <w:bCs/>
        </w:rPr>
        <w:t>2.</w:t>
      </w:r>
      <w:r w:rsidR="00F131B8">
        <w:rPr>
          <w:b/>
          <w:bCs/>
        </w:rPr>
        <w:t xml:space="preserve"> </w:t>
      </w:r>
      <w:r w:rsidR="00F131B8">
        <w:t>DAB staining and H</w:t>
      </w:r>
      <w:r w:rsidR="00F131B8">
        <w:rPr>
          <w:vertAlign w:val="subscript"/>
        </w:rPr>
        <w:t>2</w:t>
      </w:r>
      <w:r w:rsidR="00F131B8">
        <w:t>O</w:t>
      </w:r>
      <w:r w:rsidR="00F131B8">
        <w:rPr>
          <w:vertAlign w:val="subscript"/>
        </w:rPr>
        <w:t xml:space="preserve">2 </w:t>
      </w:r>
      <w:r w:rsidR="00F131B8">
        <w:t>accumulation in N88.</w:t>
      </w:r>
    </w:p>
    <w:p w14:paraId="1E60844D" w14:textId="33C55402" w:rsidR="006D1B17" w:rsidRDefault="006D1B17" w:rsidP="006D1B17">
      <w:pPr>
        <w:spacing w:line="276" w:lineRule="auto"/>
        <w:jc w:val="both"/>
      </w:pPr>
      <w:r w:rsidRPr="00EA6554">
        <w:rPr>
          <w:b/>
          <w:bCs/>
        </w:rPr>
        <w:t>Supplemental Table S1</w:t>
      </w:r>
      <w:r w:rsidR="00EA6554" w:rsidRPr="00EA6554">
        <w:rPr>
          <w:b/>
          <w:bCs/>
        </w:rPr>
        <w:t>.</w:t>
      </w:r>
      <w:r>
        <w:t xml:space="preserve"> PACE Sequence primers used for genetic markers tracking PM2 resistance.</w:t>
      </w:r>
    </w:p>
    <w:p w14:paraId="2D867608" w14:textId="221B6F39" w:rsidR="00C42992" w:rsidRDefault="00C42992" w:rsidP="00C42992">
      <w:pPr>
        <w:spacing w:line="276" w:lineRule="auto"/>
        <w:jc w:val="both"/>
      </w:pPr>
      <w:r w:rsidRPr="00EA6554">
        <w:rPr>
          <w:b/>
          <w:bCs/>
        </w:rPr>
        <w:t>Supplemental</w:t>
      </w:r>
      <w:r w:rsidR="00EA6554">
        <w:rPr>
          <w:b/>
          <w:bCs/>
        </w:rPr>
        <w:t xml:space="preserve"> </w:t>
      </w:r>
      <w:r w:rsidRPr="00EA6554">
        <w:rPr>
          <w:b/>
          <w:bCs/>
        </w:rPr>
        <w:t>Table S</w:t>
      </w:r>
      <w:r w:rsidR="006D1B17" w:rsidRPr="00EA6554">
        <w:rPr>
          <w:b/>
          <w:bCs/>
        </w:rPr>
        <w:t>2</w:t>
      </w:r>
      <w:r w:rsidR="00EA6554" w:rsidRPr="00EA6554">
        <w:rPr>
          <w:b/>
          <w:bCs/>
        </w:rPr>
        <w:t>.</w:t>
      </w:r>
      <w:r>
        <w:t xml:space="preserve"> Genetic markers associated with PM2 resistance and their location in reference genomes.</w:t>
      </w:r>
    </w:p>
    <w:p w14:paraId="18DE36A5" w14:textId="1BD270F7" w:rsidR="00EA6554" w:rsidRDefault="00EA6554" w:rsidP="00C42992">
      <w:pPr>
        <w:spacing w:line="276" w:lineRule="auto"/>
        <w:jc w:val="both"/>
      </w:pPr>
      <w:r w:rsidRPr="00EA6554">
        <w:rPr>
          <w:b/>
          <w:bCs/>
        </w:rPr>
        <w:t>Supplemental Table S3.</w:t>
      </w:r>
      <w:r w:rsidRPr="00EA6554">
        <w:t xml:space="preserve"> RNA-Seq gene expression data for genes within the PM2 locus for both W03xAC and N88xAC F1 bulks.</w:t>
      </w:r>
    </w:p>
    <w:p w14:paraId="2F2CD12D" w14:textId="77777777" w:rsidR="00C42992" w:rsidRDefault="00C42992" w:rsidP="00C42992">
      <w:pPr>
        <w:spacing w:line="276" w:lineRule="auto"/>
        <w:jc w:val="both"/>
      </w:pPr>
    </w:p>
    <w:p w14:paraId="65C9FBF1" w14:textId="77777777" w:rsidR="00C42992" w:rsidRDefault="00C42992" w:rsidP="00C42992">
      <w:pPr>
        <w:spacing w:line="276" w:lineRule="auto"/>
        <w:jc w:val="both"/>
      </w:pPr>
    </w:p>
    <w:p w14:paraId="0FE1D717" w14:textId="77777777" w:rsidR="00C42992" w:rsidRDefault="00C42992" w:rsidP="00C42992">
      <w:pPr>
        <w:spacing w:line="276" w:lineRule="auto"/>
        <w:jc w:val="both"/>
      </w:pPr>
    </w:p>
    <w:p w14:paraId="720B0341" w14:textId="77777777" w:rsidR="00C42992" w:rsidRDefault="00C42992" w:rsidP="00C42992">
      <w:pPr>
        <w:spacing w:line="276" w:lineRule="auto"/>
        <w:jc w:val="both"/>
      </w:pPr>
    </w:p>
    <w:p w14:paraId="3C2DDE1A" w14:textId="77777777" w:rsidR="00C42992" w:rsidRDefault="00C42992" w:rsidP="00C42992">
      <w:pPr>
        <w:spacing w:line="276" w:lineRule="auto"/>
        <w:jc w:val="both"/>
      </w:pPr>
    </w:p>
    <w:p w14:paraId="2CB54494" w14:textId="77777777" w:rsidR="00C42992" w:rsidRPr="00C42992" w:rsidRDefault="00C42992" w:rsidP="00C42992">
      <w:pPr>
        <w:spacing w:line="276" w:lineRule="auto"/>
        <w:jc w:val="both"/>
      </w:pPr>
    </w:p>
    <w:p w14:paraId="61FE84ED" w14:textId="34E7A07B" w:rsidR="00C42992" w:rsidRDefault="00C42992" w:rsidP="00C42992">
      <w:pPr>
        <w:keepNext/>
        <w:rPr>
          <w:rFonts w:cs="Times New Roman"/>
          <w:szCs w:val="24"/>
        </w:rPr>
      </w:pPr>
    </w:p>
    <w:p w14:paraId="1A62A431" w14:textId="5541A02D" w:rsidR="00C42992" w:rsidRPr="001549D3" w:rsidRDefault="00C42992" w:rsidP="00C42992">
      <w:pPr>
        <w:keepNext/>
        <w:rPr>
          <w:rFonts w:cs="Times New Roman"/>
          <w:szCs w:val="24"/>
        </w:rPr>
      </w:pPr>
      <w:r>
        <w:rPr>
          <w:b/>
          <w:bCs/>
          <w:noProof/>
          <w14:ligatures w14:val="standardContextual"/>
        </w:rPr>
        <w:drawing>
          <wp:inline distT="0" distB="0" distL="0" distR="0" wp14:anchorId="51AAB6EA" wp14:editId="1D37FD4F">
            <wp:extent cx="5943600" cy="2966085"/>
            <wp:effectExtent l="0" t="0" r="0" b="5715"/>
            <wp:docPr id="1086796171" name="Picture 2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796171" name="Picture 2" descr="A close-up of a graph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5909B" w14:textId="4659117F" w:rsidR="00C42992" w:rsidRDefault="00C42992" w:rsidP="00C42992">
      <w:pPr>
        <w:spacing w:line="276" w:lineRule="auto"/>
        <w:jc w:val="both"/>
        <w:rPr>
          <w:szCs w:val="24"/>
        </w:rPr>
      </w:pPr>
      <w:r w:rsidRPr="00C42992">
        <w:rPr>
          <w:b/>
          <w:bCs/>
          <w:szCs w:val="24"/>
        </w:rPr>
        <w:t>Supplemental Figure S</w:t>
      </w:r>
      <w:r w:rsidR="008E49B2">
        <w:rPr>
          <w:b/>
          <w:bCs/>
          <w:szCs w:val="24"/>
        </w:rPr>
        <w:t>1</w:t>
      </w:r>
      <w:r w:rsidRPr="00C42992">
        <w:rPr>
          <w:b/>
          <w:bCs/>
          <w:szCs w:val="24"/>
        </w:rPr>
        <w:t xml:space="preserve">.  </w:t>
      </w:r>
      <w:r w:rsidRPr="00C42992">
        <w:rPr>
          <w:szCs w:val="24"/>
        </w:rPr>
        <w:t xml:space="preserve">Mapping the PM2 locus using BSA in both N88xAC (top half) and W03xAC (bottom half) F1 segregating populations.  </w:t>
      </w:r>
      <w:proofErr w:type="spellStart"/>
      <w:r w:rsidRPr="00C42992">
        <w:rPr>
          <w:szCs w:val="24"/>
        </w:rPr>
        <w:t>CBDRx</w:t>
      </w:r>
      <w:proofErr w:type="spellEnd"/>
      <w:r w:rsidRPr="00C42992">
        <w:rPr>
          <w:szCs w:val="24"/>
        </w:rPr>
        <w:t xml:space="preserve"> (GenBank ass</w:t>
      </w:r>
      <w:r w:rsidR="00312A5D">
        <w:rPr>
          <w:szCs w:val="24"/>
        </w:rPr>
        <w:t>. no.</w:t>
      </w:r>
      <w:r w:rsidRPr="00C42992">
        <w:rPr>
          <w:szCs w:val="24"/>
        </w:rPr>
        <w:t xml:space="preserve"> GCA_900626175.2) genome was used as reference.  </w:t>
      </w:r>
      <w:r w:rsidRPr="00C42992">
        <w:rPr>
          <w:b/>
          <w:bCs/>
          <w:szCs w:val="24"/>
        </w:rPr>
        <w:t>(A)</w:t>
      </w:r>
      <w:r w:rsidRPr="00C42992">
        <w:rPr>
          <w:szCs w:val="24"/>
        </w:rPr>
        <w:t xml:space="preserve"> BSA mapping using the Bayesian implementation to estimate the probability of SNPs linked to PM2 resistance.  </w:t>
      </w:r>
      <w:r w:rsidRPr="00C42992">
        <w:rPr>
          <w:b/>
          <w:bCs/>
          <w:szCs w:val="24"/>
        </w:rPr>
        <w:t>(B)</w:t>
      </w:r>
      <w:r w:rsidRPr="00C42992">
        <w:rPr>
          <w:szCs w:val="24"/>
        </w:rPr>
        <w:t xml:space="preserve"> BSA mapping using the Euclidean distance (ED) metric.  ED values for each SNP have been raised to the 4</w:t>
      </w:r>
      <w:r w:rsidRPr="00C42992">
        <w:rPr>
          <w:szCs w:val="24"/>
          <w:vertAlign w:val="superscript"/>
        </w:rPr>
        <w:t>th</w:t>
      </w:r>
      <w:r w:rsidRPr="00C42992">
        <w:rPr>
          <w:szCs w:val="24"/>
        </w:rPr>
        <w:t xml:space="preserve"> power to increase signal to noise ratio.  Alternating </w:t>
      </w:r>
      <w:proofErr w:type="spellStart"/>
      <w:r w:rsidRPr="00C42992">
        <w:rPr>
          <w:szCs w:val="24"/>
        </w:rPr>
        <w:t>colours</w:t>
      </w:r>
      <w:proofErr w:type="spellEnd"/>
      <w:r w:rsidRPr="00C42992">
        <w:rPr>
          <w:szCs w:val="24"/>
        </w:rPr>
        <w:t xml:space="preserve"> denote chromosomes in </w:t>
      </w:r>
      <w:r w:rsidRPr="00C42992">
        <w:rPr>
          <w:b/>
          <w:bCs/>
          <w:szCs w:val="24"/>
        </w:rPr>
        <w:t>(A)</w:t>
      </w:r>
      <w:r w:rsidRPr="00C42992">
        <w:rPr>
          <w:szCs w:val="24"/>
        </w:rPr>
        <w:t xml:space="preserve"> and </w:t>
      </w:r>
      <w:r w:rsidRPr="00C42992">
        <w:rPr>
          <w:b/>
          <w:bCs/>
          <w:szCs w:val="24"/>
        </w:rPr>
        <w:t>(B)</w:t>
      </w:r>
      <w:r w:rsidRPr="00C42992">
        <w:rPr>
          <w:szCs w:val="24"/>
        </w:rPr>
        <w:t xml:space="preserve">.  Both Bayesian </w:t>
      </w:r>
      <w:r w:rsidRPr="00C42992">
        <w:rPr>
          <w:b/>
          <w:bCs/>
          <w:szCs w:val="24"/>
        </w:rPr>
        <w:t>(C)</w:t>
      </w:r>
      <w:r w:rsidRPr="00C42992">
        <w:rPr>
          <w:szCs w:val="24"/>
        </w:rPr>
        <w:t xml:space="preserve"> and ED </w:t>
      </w:r>
      <w:r w:rsidRPr="00C42992">
        <w:rPr>
          <w:b/>
          <w:bCs/>
          <w:szCs w:val="24"/>
        </w:rPr>
        <w:t>(D)</w:t>
      </w:r>
      <w:r w:rsidRPr="00C42992">
        <w:rPr>
          <w:szCs w:val="24"/>
        </w:rPr>
        <w:t xml:space="preserve"> metrics identify a region on chromosome 9 between 56,237,869 and 59,102,577 containing SNPs associated with PM2 resistance.  Vertical dashed lines denote the boundaries of the PM2 associated region, defined by increased ED scores.</w:t>
      </w:r>
      <w:r w:rsidR="00BF6CE1">
        <w:rPr>
          <w:szCs w:val="24"/>
        </w:rPr>
        <w:t xml:space="preserve">  Blue </w:t>
      </w:r>
      <w:proofErr w:type="spellStart"/>
      <w:r w:rsidR="00C1377E">
        <w:rPr>
          <w:szCs w:val="24"/>
        </w:rPr>
        <w:t>colour</w:t>
      </w:r>
      <w:proofErr w:type="spellEnd"/>
      <w:r w:rsidR="00C1377E">
        <w:rPr>
          <w:szCs w:val="24"/>
        </w:rPr>
        <w:t xml:space="preserve"> denotes values for N88xAC while orange denotes values for W03xAC </w:t>
      </w:r>
      <w:r w:rsidR="00F636E1">
        <w:rPr>
          <w:szCs w:val="24"/>
        </w:rPr>
        <w:t xml:space="preserve">in </w:t>
      </w:r>
      <w:r w:rsidR="00F636E1" w:rsidRPr="00F636E1">
        <w:rPr>
          <w:b/>
          <w:bCs/>
          <w:szCs w:val="24"/>
        </w:rPr>
        <w:t xml:space="preserve">(C) </w:t>
      </w:r>
      <w:r w:rsidR="00F636E1">
        <w:rPr>
          <w:szCs w:val="24"/>
        </w:rPr>
        <w:t xml:space="preserve">and </w:t>
      </w:r>
      <w:r w:rsidR="00F636E1" w:rsidRPr="00F636E1">
        <w:rPr>
          <w:b/>
          <w:bCs/>
          <w:szCs w:val="24"/>
        </w:rPr>
        <w:t>(D)</w:t>
      </w:r>
      <w:r w:rsidR="00F636E1">
        <w:rPr>
          <w:szCs w:val="24"/>
        </w:rPr>
        <w:t xml:space="preserve">.  </w:t>
      </w:r>
    </w:p>
    <w:p w14:paraId="0872A8ED" w14:textId="5E9C367D" w:rsidR="008E49B2" w:rsidRDefault="00E27237" w:rsidP="00E27237">
      <w:pPr>
        <w:spacing w:line="276" w:lineRule="auto"/>
        <w:jc w:val="center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29E35199" wp14:editId="0630B384">
            <wp:extent cx="3314700" cy="3213100"/>
            <wp:effectExtent l="0" t="0" r="0" b="0"/>
            <wp:docPr id="89527765" name="Picture 3" descr="A close-up of a microsc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27765" name="Picture 3" descr="A close-up of a microscop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51D8E" w14:textId="6524E8A8" w:rsidR="008E49B2" w:rsidRPr="00E25E31" w:rsidRDefault="008E49B2" w:rsidP="00C42992">
      <w:pPr>
        <w:spacing w:line="276" w:lineRule="auto"/>
        <w:jc w:val="both"/>
        <w:rPr>
          <w:szCs w:val="24"/>
        </w:rPr>
      </w:pPr>
      <w:r w:rsidRPr="00C42992">
        <w:rPr>
          <w:b/>
          <w:bCs/>
          <w:szCs w:val="24"/>
        </w:rPr>
        <w:t>Supplemental Figure S</w:t>
      </w:r>
      <w:r>
        <w:rPr>
          <w:b/>
          <w:bCs/>
          <w:szCs w:val="24"/>
        </w:rPr>
        <w:t>2</w:t>
      </w:r>
      <w:r w:rsidR="007F42B2">
        <w:rPr>
          <w:b/>
          <w:bCs/>
          <w:szCs w:val="24"/>
        </w:rPr>
        <w:t>.</w:t>
      </w:r>
      <w:r w:rsidR="00C636FF">
        <w:rPr>
          <w:b/>
          <w:bCs/>
          <w:szCs w:val="24"/>
        </w:rPr>
        <w:t xml:space="preserve"> </w:t>
      </w:r>
      <w:r w:rsidR="00C636FF">
        <w:rPr>
          <w:szCs w:val="24"/>
        </w:rPr>
        <w:t>DAB</w:t>
      </w:r>
      <w:r w:rsidR="00E25E31">
        <w:rPr>
          <w:szCs w:val="24"/>
        </w:rPr>
        <w:t xml:space="preserve"> staining showing H</w:t>
      </w:r>
      <w:r w:rsidR="00E25E31">
        <w:rPr>
          <w:szCs w:val="24"/>
          <w:vertAlign w:val="subscript"/>
        </w:rPr>
        <w:t>2</w:t>
      </w:r>
      <w:r w:rsidR="00E25E31">
        <w:rPr>
          <w:szCs w:val="24"/>
        </w:rPr>
        <w:t>O</w:t>
      </w:r>
      <w:r w:rsidR="00E25E31">
        <w:rPr>
          <w:szCs w:val="24"/>
          <w:vertAlign w:val="subscript"/>
        </w:rPr>
        <w:t xml:space="preserve">2 </w:t>
      </w:r>
      <w:r w:rsidR="00E25E31">
        <w:rPr>
          <w:szCs w:val="24"/>
        </w:rPr>
        <w:t xml:space="preserve">accumulation in </w:t>
      </w:r>
      <w:proofErr w:type="spellStart"/>
      <w:r w:rsidR="00857C2A">
        <w:rPr>
          <w:szCs w:val="24"/>
        </w:rPr>
        <w:t>mesophyllic</w:t>
      </w:r>
      <w:proofErr w:type="spellEnd"/>
      <w:r w:rsidR="00857C2A">
        <w:rPr>
          <w:szCs w:val="24"/>
        </w:rPr>
        <w:t xml:space="preserve"> cell</w:t>
      </w:r>
      <w:r w:rsidR="001C5E51">
        <w:rPr>
          <w:szCs w:val="24"/>
        </w:rPr>
        <w:t>s</w:t>
      </w:r>
      <w:r w:rsidR="00857C2A">
        <w:rPr>
          <w:szCs w:val="24"/>
        </w:rPr>
        <w:t xml:space="preserve"> (grey arrow)</w:t>
      </w:r>
      <w:r w:rsidR="00E71F72">
        <w:rPr>
          <w:szCs w:val="24"/>
        </w:rPr>
        <w:t xml:space="preserve"> in PM2 genotype N88.</w:t>
      </w:r>
      <w:r w:rsidR="001C5E51">
        <w:rPr>
          <w:szCs w:val="24"/>
        </w:rPr>
        <w:t xml:space="preserve">  Pink arrow denote</w:t>
      </w:r>
      <w:r w:rsidR="00581965">
        <w:rPr>
          <w:szCs w:val="24"/>
        </w:rPr>
        <w:t>s</w:t>
      </w:r>
      <w:r w:rsidR="001C5E51">
        <w:rPr>
          <w:szCs w:val="24"/>
        </w:rPr>
        <w:t xml:space="preserve"> PM myc</w:t>
      </w:r>
      <w:r w:rsidR="006E476E">
        <w:rPr>
          <w:szCs w:val="24"/>
        </w:rPr>
        <w:t>elium</w:t>
      </w:r>
      <w:r w:rsidR="00C86EDD">
        <w:rPr>
          <w:szCs w:val="24"/>
        </w:rPr>
        <w:t xml:space="preserve"> (string-like network stained blue)</w:t>
      </w:r>
      <w:r w:rsidR="006E476E">
        <w:rPr>
          <w:szCs w:val="24"/>
        </w:rPr>
        <w:t xml:space="preserve"> growing on the leaf surface.</w:t>
      </w:r>
      <w:r w:rsidR="00C86EDD">
        <w:rPr>
          <w:szCs w:val="24"/>
        </w:rPr>
        <w:t xml:space="preserve">  Red arrow</w:t>
      </w:r>
      <w:r w:rsidR="00FA0C6F">
        <w:rPr>
          <w:szCs w:val="24"/>
        </w:rPr>
        <w:t xml:space="preserve"> shows trichome basal cell</w:t>
      </w:r>
      <w:r w:rsidR="00C96C4F">
        <w:rPr>
          <w:szCs w:val="24"/>
        </w:rPr>
        <w:t xml:space="preserve">. </w:t>
      </w:r>
      <w:r w:rsidR="006E476E">
        <w:rPr>
          <w:szCs w:val="24"/>
        </w:rPr>
        <w:t xml:space="preserve">  </w:t>
      </w:r>
      <w:r w:rsidR="00E71F72">
        <w:rPr>
          <w:szCs w:val="24"/>
        </w:rPr>
        <w:t xml:space="preserve"> </w:t>
      </w:r>
    </w:p>
    <w:p w14:paraId="351C102F" w14:textId="77777777" w:rsidR="00C42992" w:rsidRDefault="00C42992" w:rsidP="00C42992">
      <w:pPr>
        <w:spacing w:line="276" w:lineRule="auto"/>
        <w:jc w:val="both"/>
        <w:rPr>
          <w:szCs w:val="24"/>
        </w:rPr>
      </w:pPr>
    </w:p>
    <w:p w14:paraId="295A3E92" w14:textId="220556A8" w:rsidR="00BF4386" w:rsidRPr="00BF4386" w:rsidRDefault="00BF4386" w:rsidP="00BF4386">
      <w:pPr>
        <w:spacing w:before="0" w:after="0" w:line="276" w:lineRule="auto"/>
        <w:jc w:val="both"/>
        <w:rPr>
          <w:rFonts w:eastAsia="Times New Roman" w:cs="Times New Roman"/>
          <w:szCs w:val="24"/>
        </w:rPr>
      </w:pPr>
      <w:r w:rsidRPr="00BF4386">
        <w:rPr>
          <w:rFonts w:eastAsia="Times New Roman" w:cs="Times New Roman"/>
          <w:b/>
          <w:bCs/>
          <w:szCs w:val="24"/>
        </w:rPr>
        <w:t xml:space="preserve">Supplemental Table </w:t>
      </w:r>
      <w:r w:rsidR="00170E9B">
        <w:rPr>
          <w:rFonts w:eastAsia="Times New Roman" w:cs="Times New Roman"/>
          <w:b/>
          <w:bCs/>
          <w:szCs w:val="24"/>
        </w:rPr>
        <w:t>S1</w:t>
      </w:r>
      <w:r w:rsidRPr="00BF4386">
        <w:rPr>
          <w:rFonts w:eastAsia="Times New Roman" w:cs="Times New Roman"/>
          <w:szCs w:val="24"/>
        </w:rPr>
        <w:t xml:space="preserve">. PACE sequence primers used for genetic markers tracking PM2 resistance.  </w:t>
      </w:r>
    </w:p>
    <w:tbl>
      <w:tblPr>
        <w:tblStyle w:val="TableGrid2"/>
        <w:tblW w:w="1030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3097"/>
        <w:gridCol w:w="3097"/>
        <w:gridCol w:w="3097"/>
      </w:tblGrid>
      <w:tr w:rsidR="00BF4386" w:rsidRPr="00BF4386" w14:paraId="181AE958" w14:textId="77777777" w:rsidTr="00170E9B"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14:paraId="061F303F" w14:textId="77777777" w:rsidR="00BF4386" w:rsidRPr="00BF4386" w:rsidRDefault="00BF4386" w:rsidP="00BF4386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F4386">
              <w:rPr>
                <w:rFonts w:eastAsia="Times New Roman" w:cs="Times New Roman"/>
                <w:b/>
                <w:bCs/>
                <w:szCs w:val="24"/>
              </w:rPr>
              <w:t>Marker</w:t>
            </w:r>
          </w:p>
        </w:tc>
        <w:tc>
          <w:tcPr>
            <w:tcW w:w="3097" w:type="dxa"/>
            <w:tcBorders>
              <w:top w:val="single" w:sz="4" w:space="0" w:color="auto"/>
              <w:bottom w:val="single" w:sz="4" w:space="0" w:color="auto"/>
            </w:tcBorders>
          </w:tcPr>
          <w:p w14:paraId="758AA61E" w14:textId="77777777" w:rsidR="00BF4386" w:rsidRPr="00BF4386" w:rsidRDefault="00BF4386" w:rsidP="00BF4386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F4386">
              <w:rPr>
                <w:rFonts w:eastAsia="Times New Roman" w:cs="Times New Roman"/>
                <w:b/>
                <w:bCs/>
                <w:szCs w:val="24"/>
              </w:rPr>
              <w:t>Forward Primer 1</w:t>
            </w:r>
          </w:p>
        </w:tc>
        <w:tc>
          <w:tcPr>
            <w:tcW w:w="3097" w:type="dxa"/>
            <w:tcBorders>
              <w:top w:val="single" w:sz="4" w:space="0" w:color="auto"/>
              <w:bottom w:val="single" w:sz="4" w:space="0" w:color="auto"/>
            </w:tcBorders>
          </w:tcPr>
          <w:p w14:paraId="6313C6CE" w14:textId="77777777" w:rsidR="00BF4386" w:rsidRPr="00BF4386" w:rsidRDefault="00BF4386" w:rsidP="00BF4386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F4386">
              <w:rPr>
                <w:rFonts w:eastAsia="Times New Roman" w:cs="Times New Roman"/>
                <w:b/>
                <w:bCs/>
                <w:szCs w:val="24"/>
              </w:rPr>
              <w:t>Forward Primer 2</w:t>
            </w:r>
          </w:p>
        </w:tc>
        <w:tc>
          <w:tcPr>
            <w:tcW w:w="3097" w:type="dxa"/>
            <w:tcBorders>
              <w:top w:val="single" w:sz="4" w:space="0" w:color="auto"/>
              <w:bottom w:val="single" w:sz="4" w:space="0" w:color="auto"/>
            </w:tcBorders>
          </w:tcPr>
          <w:p w14:paraId="08BEBB0F" w14:textId="77777777" w:rsidR="00BF4386" w:rsidRPr="00BF4386" w:rsidRDefault="00BF4386" w:rsidP="00BF4386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F4386">
              <w:rPr>
                <w:rFonts w:eastAsia="Times New Roman" w:cs="Times New Roman"/>
                <w:b/>
                <w:bCs/>
                <w:szCs w:val="24"/>
              </w:rPr>
              <w:t>Common Reverse Primer</w:t>
            </w:r>
          </w:p>
        </w:tc>
      </w:tr>
      <w:tr w:rsidR="00BF4386" w:rsidRPr="00BF4386" w14:paraId="768587D3" w14:textId="77777777" w:rsidTr="00170E9B">
        <w:tc>
          <w:tcPr>
            <w:tcW w:w="1016" w:type="dxa"/>
            <w:tcBorders>
              <w:top w:val="single" w:sz="4" w:space="0" w:color="auto"/>
            </w:tcBorders>
            <w:vAlign w:val="center"/>
          </w:tcPr>
          <w:p w14:paraId="5B76A5F7" w14:textId="77777777" w:rsidR="00BF4386" w:rsidRPr="00BF4386" w:rsidRDefault="00BF4386" w:rsidP="00BF4386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MR110</w:t>
            </w:r>
          </w:p>
        </w:tc>
        <w:tc>
          <w:tcPr>
            <w:tcW w:w="3097" w:type="dxa"/>
            <w:tcBorders>
              <w:top w:val="single" w:sz="4" w:space="0" w:color="auto"/>
            </w:tcBorders>
            <w:vAlign w:val="center"/>
          </w:tcPr>
          <w:p w14:paraId="71C9DC21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CACTTTCTTCAAGTCATCCT</w:t>
            </w:r>
          </w:p>
          <w:p w14:paraId="680ED14D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CACTC</w:t>
            </w:r>
          </w:p>
        </w:tc>
        <w:tc>
          <w:tcPr>
            <w:tcW w:w="3097" w:type="dxa"/>
            <w:tcBorders>
              <w:top w:val="single" w:sz="4" w:space="0" w:color="auto"/>
            </w:tcBorders>
            <w:vAlign w:val="center"/>
          </w:tcPr>
          <w:p w14:paraId="1B8065CB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CCACTTTCTTCAAGTCATCC</w:t>
            </w:r>
          </w:p>
          <w:p w14:paraId="27CDE906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TCACTT</w:t>
            </w:r>
          </w:p>
        </w:tc>
        <w:tc>
          <w:tcPr>
            <w:tcW w:w="3097" w:type="dxa"/>
            <w:tcBorders>
              <w:top w:val="single" w:sz="4" w:space="0" w:color="auto"/>
            </w:tcBorders>
            <w:vAlign w:val="center"/>
          </w:tcPr>
          <w:p w14:paraId="21716193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CGACSGATATGTTCTTTTCG</w:t>
            </w:r>
          </w:p>
          <w:p w14:paraId="15B90871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GGGAA</w:t>
            </w:r>
          </w:p>
        </w:tc>
      </w:tr>
      <w:tr w:rsidR="00BF4386" w:rsidRPr="00BF4386" w14:paraId="7EF81530" w14:textId="77777777" w:rsidTr="00170E9B">
        <w:tc>
          <w:tcPr>
            <w:tcW w:w="1016" w:type="dxa"/>
            <w:vAlign w:val="center"/>
          </w:tcPr>
          <w:p w14:paraId="7BB8B35E" w14:textId="77777777" w:rsidR="00BF4386" w:rsidRPr="00BF4386" w:rsidRDefault="00BF4386" w:rsidP="00BF4386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MR121</w:t>
            </w:r>
          </w:p>
        </w:tc>
        <w:tc>
          <w:tcPr>
            <w:tcW w:w="3097" w:type="dxa"/>
            <w:vAlign w:val="center"/>
          </w:tcPr>
          <w:p w14:paraId="77C617F4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GGCCATTGCTAGATAATTCC</w:t>
            </w:r>
          </w:p>
          <w:p w14:paraId="0591E0C2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GGT</w:t>
            </w:r>
          </w:p>
        </w:tc>
        <w:tc>
          <w:tcPr>
            <w:tcW w:w="3097" w:type="dxa"/>
            <w:vAlign w:val="center"/>
          </w:tcPr>
          <w:p w14:paraId="4868225B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GGCCATTGCTAGATAATTCC</w:t>
            </w:r>
          </w:p>
          <w:p w14:paraId="5DFAD985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GGG</w:t>
            </w:r>
          </w:p>
        </w:tc>
        <w:tc>
          <w:tcPr>
            <w:tcW w:w="3097" w:type="dxa"/>
            <w:vAlign w:val="center"/>
          </w:tcPr>
          <w:p w14:paraId="7B77A2B2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GTGCATGGCAGAGGATCACA</w:t>
            </w:r>
          </w:p>
          <w:p w14:paraId="37A98FA2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CATTT</w:t>
            </w:r>
          </w:p>
        </w:tc>
      </w:tr>
      <w:tr w:rsidR="00BF4386" w:rsidRPr="00BF4386" w14:paraId="4AE2A1BE" w14:textId="77777777" w:rsidTr="00170E9B">
        <w:tc>
          <w:tcPr>
            <w:tcW w:w="1016" w:type="dxa"/>
            <w:vAlign w:val="center"/>
          </w:tcPr>
          <w:p w14:paraId="0E51BC64" w14:textId="77777777" w:rsidR="00BF4386" w:rsidRPr="00BF4386" w:rsidRDefault="00BF4386" w:rsidP="00BF4386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MR124</w:t>
            </w:r>
          </w:p>
        </w:tc>
        <w:tc>
          <w:tcPr>
            <w:tcW w:w="3097" w:type="dxa"/>
            <w:vAlign w:val="center"/>
          </w:tcPr>
          <w:p w14:paraId="70B4F5CF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TGGAAAGAGAAGAARAATGA</w:t>
            </w:r>
          </w:p>
          <w:p w14:paraId="6946E9DA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AGCAGAA</w:t>
            </w:r>
          </w:p>
        </w:tc>
        <w:tc>
          <w:tcPr>
            <w:tcW w:w="3097" w:type="dxa"/>
            <w:vAlign w:val="center"/>
          </w:tcPr>
          <w:p w14:paraId="60864083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GGAAAGAGAAGAARAATGAA</w:t>
            </w:r>
          </w:p>
          <w:p w14:paraId="1965C625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GCAGAC</w:t>
            </w:r>
          </w:p>
        </w:tc>
        <w:tc>
          <w:tcPr>
            <w:tcW w:w="3097" w:type="dxa"/>
            <w:vAlign w:val="center"/>
          </w:tcPr>
          <w:p w14:paraId="706F4A23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GTTCCTGAAAAACGGAGTTG</w:t>
            </w:r>
          </w:p>
          <w:p w14:paraId="787C129A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ATTCAGTTT</w:t>
            </w:r>
          </w:p>
        </w:tc>
      </w:tr>
      <w:tr w:rsidR="00BF4386" w:rsidRPr="00BF4386" w14:paraId="3E7D936E" w14:textId="77777777" w:rsidTr="00170E9B">
        <w:tc>
          <w:tcPr>
            <w:tcW w:w="1016" w:type="dxa"/>
            <w:vAlign w:val="center"/>
          </w:tcPr>
          <w:p w14:paraId="7363E357" w14:textId="77777777" w:rsidR="00BF4386" w:rsidRPr="00BF4386" w:rsidRDefault="00BF4386" w:rsidP="00BF4386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MR125</w:t>
            </w:r>
          </w:p>
        </w:tc>
        <w:tc>
          <w:tcPr>
            <w:tcW w:w="3097" w:type="dxa"/>
            <w:vAlign w:val="center"/>
          </w:tcPr>
          <w:p w14:paraId="5A158155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TTACTTGGTCAACCTGGAAC</w:t>
            </w:r>
          </w:p>
          <w:p w14:paraId="060F761F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AGTC</w:t>
            </w:r>
          </w:p>
        </w:tc>
        <w:tc>
          <w:tcPr>
            <w:tcW w:w="3097" w:type="dxa"/>
            <w:vAlign w:val="center"/>
          </w:tcPr>
          <w:p w14:paraId="1A332761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TTTACTTGGTCAACCTGGAA</w:t>
            </w:r>
          </w:p>
          <w:p w14:paraId="377A7CD8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CAGTT</w:t>
            </w:r>
          </w:p>
        </w:tc>
        <w:tc>
          <w:tcPr>
            <w:tcW w:w="3097" w:type="dxa"/>
            <w:vAlign w:val="center"/>
          </w:tcPr>
          <w:p w14:paraId="711444AE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ACCCARTCCAAGATCAACAA</w:t>
            </w:r>
          </w:p>
          <w:p w14:paraId="319BBBBA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GATATAGTTT</w:t>
            </w:r>
          </w:p>
        </w:tc>
      </w:tr>
      <w:tr w:rsidR="00BF4386" w:rsidRPr="00BF4386" w14:paraId="2776320D" w14:textId="77777777" w:rsidTr="00170E9B">
        <w:tc>
          <w:tcPr>
            <w:tcW w:w="1016" w:type="dxa"/>
            <w:vAlign w:val="center"/>
          </w:tcPr>
          <w:p w14:paraId="728DBA06" w14:textId="77777777" w:rsidR="00BF4386" w:rsidRPr="00BF4386" w:rsidRDefault="00BF4386" w:rsidP="00BF4386">
            <w:pPr>
              <w:spacing w:before="0" w:after="0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MR131</w:t>
            </w:r>
          </w:p>
        </w:tc>
        <w:tc>
          <w:tcPr>
            <w:tcW w:w="3097" w:type="dxa"/>
            <w:vAlign w:val="center"/>
          </w:tcPr>
          <w:p w14:paraId="42267AEE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TTTGKGTTGGAAAGAGAAGA</w:t>
            </w:r>
          </w:p>
          <w:p w14:paraId="5946D4F3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AG</w:t>
            </w:r>
          </w:p>
        </w:tc>
        <w:tc>
          <w:tcPr>
            <w:tcW w:w="3097" w:type="dxa"/>
            <w:vAlign w:val="center"/>
          </w:tcPr>
          <w:p w14:paraId="0D645BFA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CTTTTGKGTTGGAAAGAGAA</w:t>
            </w:r>
          </w:p>
          <w:p w14:paraId="5E29364C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GAAA</w:t>
            </w:r>
          </w:p>
        </w:tc>
        <w:tc>
          <w:tcPr>
            <w:tcW w:w="3097" w:type="dxa"/>
            <w:vAlign w:val="center"/>
          </w:tcPr>
          <w:p w14:paraId="6E14EF74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GTTCCTGAAAAACGGAGTTG</w:t>
            </w:r>
          </w:p>
          <w:p w14:paraId="343319EC" w14:textId="77777777" w:rsidR="00BF4386" w:rsidRPr="00BF4386" w:rsidRDefault="00BF4386" w:rsidP="00BF4386">
            <w:pPr>
              <w:spacing w:before="0" w:after="0"/>
              <w:rPr>
                <w:rFonts w:ascii="Courier New" w:eastAsia="Times New Roman" w:hAnsi="Courier New" w:cs="Courier New"/>
                <w:szCs w:val="24"/>
              </w:rPr>
            </w:pPr>
            <w:r w:rsidRPr="00BF4386">
              <w:rPr>
                <w:rFonts w:ascii="Courier New" w:eastAsia="Times New Roman" w:hAnsi="Courier New" w:cs="Courier New"/>
                <w:szCs w:val="24"/>
              </w:rPr>
              <w:t>ATTCAGTTT</w:t>
            </w:r>
          </w:p>
        </w:tc>
      </w:tr>
    </w:tbl>
    <w:p w14:paraId="6A04998C" w14:textId="77777777" w:rsidR="00170E9B" w:rsidRDefault="00170E9B" w:rsidP="00170E9B">
      <w:pPr>
        <w:spacing w:before="0" w:after="0" w:line="276" w:lineRule="auto"/>
        <w:jc w:val="both"/>
        <w:rPr>
          <w:rFonts w:eastAsia="Times New Roman" w:cs="Times New Roman"/>
          <w:b/>
          <w:bCs/>
          <w:szCs w:val="24"/>
        </w:rPr>
      </w:pPr>
    </w:p>
    <w:p w14:paraId="78027FBE" w14:textId="77777777" w:rsidR="006D1B17" w:rsidRDefault="006D1B17" w:rsidP="00170E9B">
      <w:pPr>
        <w:spacing w:before="0" w:after="0" w:line="276" w:lineRule="auto"/>
        <w:jc w:val="both"/>
        <w:rPr>
          <w:rFonts w:eastAsia="Times New Roman" w:cs="Times New Roman"/>
          <w:b/>
          <w:bCs/>
          <w:szCs w:val="24"/>
        </w:rPr>
      </w:pPr>
    </w:p>
    <w:p w14:paraId="3E906868" w14:textId="07A24A21" w:rsidR="00170E9B" w:rsidRPr="00BF4386" w:rsidRDefault="00170E9B" w:rsidP="00170E9B">
      <w:pPr>
        <w:spacing w:before="0" w:after="0" w:line="276" w:lineRule="auto"/>
        <w:jc w:val="both"/>
        <w:rPr>
          <w:rFonts w:eastAsia="Times New Roman" w:cs="Times New Roman"/>
          <w:szCs w:val="24"/>
        </w:rPr>
      </w:pPr>
      <w:r w:rsidRPr="00BF4386">
        <w:rPr>
          <w:rFonts w:eastAsia="Times New Roman" w:cs="Times New Roman"/>
          <w:b/>
          <w:bCs/>
          <w:szCs w:val="24"/>
        </w:rPr>
        <w:t xml:space="preserve">Supplemental Table </w:t>
      </w:r>
      <w:r>
        <w:rPr>
          <w:rFonts w:eastAsia="Times New Roman" w:cs="Times New Roman"/>
          <w:b/>
          <w:bCs/>
          <w:szCs w:val="24"/>
        </w:rPr>
        <w:t>S2</w:t>
      </w:r>
      <w:r w:rsidRPr="00BF4386">
        <w:rPr>
          <w:rFonts w:eastAsia="Times New Roman" w:cs="Times New Roman"/>
          <w:szCs w:val="24"/>
        </w:rPr>
        <w:t>. Genetic markers associated with PM2 resistance and their location in reference genomes.</w:t>
      </w:r>
    </w:p>
    <w:tbl>
      <w:tblPr>
        <w:tblStyle w:val="TableGrid1"/>
        <w:tblW w:w="9810" w:type="dxa"/>
        <w:tblLook w:val="04A0" w:firstRow="1" w:lastRow="0" w:firstColumn="1" w:lastColumn="0" w:noHBand="0" w:noVBand="1"/>
      </w:tblPr>
      <w:tblGrid>
        <w:gridCol w:w="1510"/>
        <w:gridCol w:w="803"/>
        <w:gridCol w:w="976"/>
        <w:gridCol w:w="1706"/>
        <w:gridCol w:w="1610"/>
        <w:gridCol w:w="1590"/>
        <w:gridCol w:w="1615"/>
      </w:tblGrid>
      <w:tr w:rsidR="00170E9B" w:rsidRPr="00BF4386" w14:paraId="301A54C7" w14:textId="77777777" w:rsidTr="006235AB">
        <w:tc>
          <w:tcPr>
            <w:tcW w:w="1525" w:type="dxa"/>
            <w:vMerge w:val="restart"/>
            <w:tcBorders>
              <w:left w:val="nil"/>
              <w:right w:val="nil"/>
            </w:tcBorders>
          </w:tcPr>
          <w:p w14:paraId="4502434F" w14:textId="77777777" w:rsidR="00170E9B" w:rsidRPr="00BF4386" w:rsidRDefault="00170E9B" w:rsidP="006235AB">
            <w:pPr>
              <w:spacing w:before="0" w:after="0" w:line="276" w:lineRule="auto"/>
              <w:jc w:val="both"/>
              <w:rPr>
                <w:rFonts w:eastAsia="Times New Roman" w:cs="Times New Roman"/>
                <w:b/>
                <w:bCs/>
                <w:szCs w:val="24"/>
              </w:rPr>
            </w:pPr>
            <w:r w:rsidRPr="00BF4386">
              <w:rPr>
                <w:rFonts w:eastAsia="Times New Roman" w:cs="Times New Roman"/>
                <w:b/>
                <w:bCs/>
                <w:szCs w:val="24"/>
              </w:rPr>
              <w:t>Marker</w:t>
            </w:r>
          </w:p>
        </w:tc>
        <w:tc>
          <w:tcPr>
            <w:tcW w:w="810" w:type="dxa"/>
            <w:vMerge w:val="restart"/>
            <w:tcBorders>
              <w:left w:val="nil"/>
              <w:right w:val="nil"/>
            </w:tcBorders>
          </w:tcPr>
          <w:p w14:paraId="02DD0C43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F4386">
              <w:rPr>
                <w:rFonts w:eastAsia="Times New Roman" w:cs="Times New Roman"/>
                <w:b/>
                <w:bCs/>
                <w:szCs w:val="24"/>
              </w:rPr>
              <w:t>Ref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</w:tcPr>
          <w:p w14:paraId="752C22A7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F4386">
              <w:rPr>
                <w:rFonts w:eastAsia="Times New Roman" w:cs="Times New Roman"/>
                <w:b/>
                <w:bCs/>
                <w:szCs w:val="24"/>
              </w:rPr>
              <w:t>Alt</w:t>
            </w:r>
          </w:p>
        </w:tc>
        <w:tc>
          <w:tcPr>
            <w:tcW w:w="3330" w:type="dxa"/>
            <w:gridSpan w:val="2"/>
            <w:tcBorders>
              <w:left w:val="nil"/>
              <w:right w:val="nil"/>
            </w:tcBorders>
          </w:tcPr>
          <w:p w14:paraId="393A6957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F4386">
              <w:rPr>
                <w:rFonts w:eastAsia="Times New Roman" w:cs="Times New Roman"/>
                <w:b/>
                <w:bCs/>
                <w:szCs w:val="24"/>
              </w:rPr>
              <w:t>Pink Pepper</w:t>
            </w:r>
          </w:p>
        </w:tc>
        <w:tc>
          <w:tcPr>
            <w:tcW w:w="3155" w:type="dxa"/>
            <w:gridSpan w:val="2"/>
            <w:tcBorders>
              <w:left w:val="nil"/>
              <w:right w:val="nil"/>
            </w:tcBorders>
          </w:tcPr>
          <w:p w14:paraId="10E80527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proofErr w:type="spellStart"/>
            <w:r w:rsidRPr="00BF4386">
              <w:rPr>
                <w:rFonts w:eastAsia="Times New Roman" w:cs="Times New Roman"/>
                <w:b/>
                <w:bCs/>
                <w:szCs w:val="24"/>
              </w:rPr>
              <w:t>CBDRx</w:t>
            </w:r>
            <w:proofErr w:type="spellEnd"/>
          </w:p>
        </w:tc>
      </w:tr>
      <w:tr w:rsidR="00170E9B" w:rsidRPr="00BF4386" w14:paraId="1F0CFF80" w14:textId="77777777" w:rsidTr="006235AB">
        <w:trPr>
          <w:trHeight w:val="350"/>
        </w:trPr>
        <w:tc>
          <w:tcPr>
            <w:tcW w:w="152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D332530" w14:textId="77777777" w:rsidR="00170E9B" w:rsidRPr="00BF4386" w:rsidRDefault="00170E9B" w:rsidP="006235AB">
            <w:pPr>
              <w:spacing w:before="0" w:after="0" w:line="276" w:lineRule="auto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E26ACE8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CC40D89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</w:tcPr>
          <w:p w14:paraId="2847FEA9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F4386">
              <w:rPr>
                <w:rFonts w:eastAsia="Times New Roman" w:cs="Times New Roman"/>
                <w:b/>
                <w:bCs/>
                <w:szCs w:val="24"/>
              </w:rPr>
              <w:t>Chromosome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</w:tcPr>
          <w:p w14:paraId="6D017494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F4386">
              <w:rPr>
                <w:rFonts w:eastAsia="Times New Roman" w:cs="Times New Roman"/>
                <w:b/>
                <w:bCs/>
                <w:szCs w:val="24"/>
              </w:rPr>
              <w:t>Position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</w:tcPr>
          <w:p w14:paraId="6BE25423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F4386">
              <w:rPr>
                <w:rFonts w:eastAsia="Times New Roman" w:cs="Times New Roman"/>
                <w:b/>
                <w:bCs/>
                <w:szCs w:val="24"/>
              </w:rPr>
              <w:t>Chromosome</w:t>
            </w:r>
          </w:p>
        </w:tc>
        <w:tc>
          <w:tcPr>
            <w:tcW w:w="1625" w:type="dxa"/>
            <w:tcBorders>
              <w:left w:val="nil"/>
              <w:bottom w:val="single" w:sz="4" w:space="0" w:color="auto"/>
              <w:right w:val="nil"/>
            </w:tcBorders>
          </w:tcPr>
          <w:p w14:paraId="64C2C503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BF4386">
              <w:rPr>
                <w:rFonts w:eastAsia="Times New Roman" w:cs="Times New Roman"/>
                <w:b/>
                <w:bCs/>
                <w:szCs w:val="24"/>
              </w:rPr>
              <w:t>Position</w:t>
            </w:r>
          </w:p>
        </w:tc>
      </w:tr>
      <w:tr w:rsidR="00170E9B" w:rsidRPr="00BF4386" w14:paraId="6CB34C88" w14:textId="77777777" w:rsidTr="006235AB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50B28B32" w14:textId="77777777" w:rsidR="00170E9B" w:rsidRPr="00BF4386" w:rsidRDefault="00170E9B" w:rsidP="006235AB">
            <w:pPr>
              <w:spacing w:before="0" w:after="0" w:line="276" w:lineRule="auto"/>
              <w:jc w:val="both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MR110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C92D1C1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785DC16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45592550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NC_083609.1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7F9486E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58,448,827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15C59B0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NC_044376.1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4EE9717B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58,108,802</w:t>
            </w:r>
          </w:p>
        </w:tc>
      </w:tr>
      <w:tr w:rsidR="00170E9B" w:rsidRPr="00BF4386" w14:paraId="7C79FF58" w14:textId="77777777" w:rsidTr="006235AB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358BE256" w14:textId="77777777" w:rsidR="00170E9B" w:rsidRPr="00BF4386" w:rsidRDefault="00170E9B" w:rsidP="006235AB">
            <w:pPr>
              <w:spacing w:before="0" w:after="0" w:line="276" w:lineRule="auto"/>
              <w:jc w:val="both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MR121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276CA7E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2432807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55636FBB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NC_083609.1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2C234F2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58,552,298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F7603DA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NC_044376.1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7D7E9729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58,570,897</w:t>
            </w:r>
          </w:p>
        </w:tc>
      </w:tr>
      <w:tr w:rsidR="00170E9B" w:rsidRPr="00BF4386" w14:paraId="3FBB0C32" w14:textId="77777777" w:rsidTr="006235AB">
        <w:trPr>
          <w:trHeight w:val="170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F45D21F" w14:textId="77777777" w:rsidR="00170E9B" w:rsidRPr="00BF4386" w:rsidRDefault="00170E9B" w:rsidP="006235AB">
            <w:pPr>
              <w:spacing w:before="0" w:after="0" w:line="276" w:lineRule="auto"/>
              <w:jc w:val="both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MR124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49AD28A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28BEBE6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6CE5A261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NC_083609.1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0935C8C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58,289,703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05243B1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NC_044376.1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1EFBDF87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58,423,201</w:t>
            </w:r>
          </w:p>
        </w:tc>
      </w:tr>
      <w:tr w:rsidR="00170E9B" w:rsidRPr="00BF4386" w14:paraId="3543E965" w14:textId="77777777" w:rsidTr="006235AB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05CF9EF4" w14:textId="77777777" w:rsidR="00170E9B" w:rsidRPr="00BF4386" w:rsidRDefault="00170E9B" w:rsidP="006235AB">
            <w:pPr>
              <w:spacing w:before="0" w:after="0" w:line="276" w:lineRule="auto"/>
              <w:jc w:val="both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lastRenderedPageBreak/>
              <w:t>MR125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911A061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4426363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01EB7EA5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NC_083609.1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26643D4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58,164,119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844E539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NC_044376.1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361A97F2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58,314,046</w:t>
            </w:r>
          </w:p>
        </w:tc>
      </w:tr>
      <w:tr w:rsidR="00170E9B" w:rsidRPr="00BF4386" w14:paraId="1F620940" w14:textId="77777777" w:rsidTr="006235AB">
        <w:tc>
          <w:tcPr>
            <w:tcW w:w="1525" w:type="dxa"/>
            <w:tcBorders>
              <w:top w:val="nil"/>
              <w:left w:val="nil"/>
              <w:right w:val="nil"/>
            </w:tcBorders>
          </w:tcPr>
          <w:p w14:paraId="095D904D" w14:textId="77777777" w:rsidR="00170E9B" w:rsidRPr="00BF4386" w:rsidRDefault="00170E9B" w:rsidP="006235AB">
            <w:pPr>
              <w:spacing w:before="0" w:after="0" w:line="276" w:lineRule="auto"/>
              <w:jc w:val="both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MR131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14:paraId="65758DD2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G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69CEA5CD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szCs w:val="24"/>
              </w:rPr>
              <w:t>A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</w:tcPr>
          <w:p w14:paraId="37BB949F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NC_083609.1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</w:tcPr>
          <w:p w14:paraId="324167DC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58,289,715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</w:tcPr>
          <w:p w14:paraId="123A436F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NC_044376.1</w:t>
            </w:r>
          </w:p>
        </w:tc>
        <w:tc>
          <w:tcPr>
            <w:tcW w:w="1625" w:type="dxa"/>
            <w:tcBorders>
              <w:top w:val="nil"/>
              <w:left w:val="nil"/>
              <w:right w:val="nil"/>
            </w:tcBorders>
          </w:tcPr>
          <w:p w14:paraId="6039AB00" w14:textId="77777777" w:rsidR="00170E9B" w:rsidRPr="00BF4386" w:rsidRDefault="00170E9B" w:rsidP="006235AB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F4386">
              <w:rPr>
                <w:rFonts w:eastAsia="Times New Roman" w:cs="Times New Roman"/>
                <w:color w:val="000000"/>
                <w:szCs w:val="24"/>
              </w:rPr>
              <w:t>58,423,213</w:t>
            </w:r>
          </w:p>
        </w:tc>
      </w:tr>
    </w:tbl>
    <w:p w14:paraId="0F09A575" w14:textId="77777777" w:rsidR="00170E9B" w:rsidRDefault="00170E9B" w:rsidP="00170E9B">
      <w:pPr>
        <w:spacing w:before="0" w:after="0" w:line="276" w:lineRule="auto"/>
        <w:jc w:val="both"/>
        <w:rPr>
          <w:rFonts w:eastAsia="Times New Roman" w:cs="Times New Roman"/>
          <w:szCs w:val="24"/>
        </w:rPr>
      </w:pPr>
      <w:r w:rsidRPr="00BF4386">
        <w:rPr>
          <w:rFonts w:eastAsia="Times New Roman" w:cs="Times New Roman"/>
          <w:szCs w:val="24"/>
        </w:rPr>
        <w:t xml:space="preserve">Notes: Chromosome coordinates of markers are provided in both Pink Pepper and </w:t>
      </w:r>
      <w:proofErr w:type="spellStart"/>
      <w:r w:rsidRPr="00BF4386">
        <w:rPr>
          <w:rFonts w:eastAsia="Times New Roman" w:cs="Times New Roman"/>
          <w:szCs w:val="24"/>
        </w:rPr>
        <w:t>CBDRx</w:t>
      </w:r>
      <w:proofErr w:type="spellEnd"/>
      <w:r w:rsidRPr="00BF4386">
        <w:rPr>
          <w:rFonts w:eastAsia="Times New Roman" w:cs="Times New Roman"/>
          <w:szCs w:val="24"/>
        </w:rPr>
        <w:t xml:space="preserve"> reference genomes.  Ref indicates reference allele found in the Pink Pepper reference genome and Alt the alternative allele. </w:t>
      </w:r>
    </w:p>
    <w:p w14:paraId="209B462F" w14:textId="77777777" w:rsidR="00564FBA" w:rsidRDefault="00564FBA" w:rsidP="00170E9B">
      <w:pPr>
        <w:spacing w:before="0" w:after="0" w:line="276" w:lineRule="auto"/>
        <w:jc w:val="both"/>
        <w:rPr>
          <w:rFonts w:eastAsia="Times New Roman" w:cs="Times New Roman"/>
          <w:szCs w:val="24"/>
        </w:rPr>
      </w:pPr>
    </w:p>
    <w:p w14:paraId="58F1AED1" w14:textId="0A4E55F6" w:rsidR="00DE23E8" w:rsidRPr="002B49D1" w:rsidRDefault="002B49D1" w:rsidP="00654E8F">
      <w:pPr>
        <w:spacing w:before="240"/>
      </w:pPr>
      <w:r w:rsidRPr="00EA6554">
        <w:rPr>
          <w:b/>
          <w:bCs/>
        </w:rPr>
        <w:t>Supplemental Table S3.</w:t>
      </w:r>
      <w:r>
        <w:rPr>
          <w:b/>
          <w:bCs/>
        </w:rPr>
        <w:t xml:space="preserve"> </w:t>
      </w:r>
      <w:r>
        <w:t xml:space="preserve">Provided as a standalone excel file “Supplemental Table S3.xlsx”. </w:t>
      </w:r>
    </w:p>
    <w:sectPr w:rsidR="00DE23E8" w:rsidRPr="002B49D1" w:rsidSect="0093429D">
      <w:headerReference w:type="even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91A9BB" w14:textId="77777777" w:rsidR="006E34A6" w:rsidRDefault="006E34A6" w:rsidP="00117666">
      <w:pPr>
        <w:spacing w:after="0"/>
      </w:pPr>
      <w:r>
        <w:separator/>
      </w:r>
    </w:p>
  </w:endnote>
  <w:endnote w:type="continuationSeparator" w:id="0">
    <w:p w14:paraId="362C6987" w14:textId="77777777" w:rsidR="006E34A6" w:rsidRDefault="006E34A6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4AB28" w14:textId="77777777" w:rsidR="00BF4386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BF4386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4D054D26" w14:textId="77777777" w:rsidR="00BF4386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FF27" w14:textId="77777777" w:rsidR="00BF4386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BF4386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085E15EB" w14:textId="77777777" w:rsidR="00BF4386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414FBE" w14:textId="77777777" w:rsidR="006E34A6" w:rsidRDefault="006E34A6" w:rsidP="00117666">
      <w:pPr>
        <w:spacing w:after="0"/>
      </w:pPr>
      <w:r>
        <w:separator/>
      </w:r>
    </w:p>
  </w:footnote>
  <w:footnote w:type="continuationSeparator" w:id="0">
    <w:p w14:paraId="048FF3A9" w14:textId="77777777" w:rsidR="006E34A6" w:rsidRDefault="006E34A6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1EDBA" w14:textId="77777777" w:rsidR="00BF4386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11A5B" w14:textId="77777777" w:rsidR="00BF4386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09763D"/>
    <w:rsid w:val="00105FD9"/>
    <w:rsid w:val="00117666"/>
    <w:rsid w:val="001549D3"/>
    <w:rsid w:val="00160065"/>
    <w:rsid w:val="00170E9B"/>
    <w:rsid w:val="00177D84"/>
    <w:rsid w:val="001C5E51"/>
    <w:rsid w:val="0026370A"/>
    <w:rsid w:val="00267D18"/>
    <w:rsid w:val="002868E2"/>
    <w:rsid w:val="002869C3"/>
    <w:rsid w:val="002936E4"/>
    <w:rsid w:val="0029637C"/>
    <w:rsid w:val="002B49D1"/>
    <w:rsid w:val="002B4A57"/>
    <w:rsid w:val="002C74CA"/>
    <w:rsid w:val="00312A5D"/>
    <w:rsid w:val="003309DB"/>
    <w:rsid w:val="003544FB"/>
    <w:rsid w:val="0035797E"/>
    <w:rsid w:val="003D2D47"/>
    <w:rsid w:val="003D2F2D"/>
    <w:rsid w:val="00401590"/>
    <w:rsid w:val="0040716A"/>
    <w:rsid w:val="00447801"/>
    <w:rsid w:val="00452E9C"/>
    <w:rsid w:val="004735C8"/>
    <w:rsid w:val="004961FF"/>
    <w:rsid w:val="00514FB2"/>
    <w:rsid w:val="00517A89"/>
    <w:rsid w:val="005250F2"/>
    <w:rsid w:val="00564FBA"/>
    <w:rsid w:val="00581965"/>
    <w:rsid w:val="00593EEA"/>
    <w:rsid w:val="005A5EEE"/>
    <w:rsid w:val="0060706A"/>
    <w:rsid w:val="006375C7"/>
    <w:rsid w:val="00654E8F"/>
    <w:rsid w:val="00660D05"/>
    <w:rsid w:val="00662879"/>
    <w:rsid w:val="00664B04"/>
    <w:rsid w:val="00664F9B"/>
    <w:rsid w:val="006737DC"/>
    <w:rsid w:val="006743AC"/>
    <w:rsid w:val="006820B1"/>
    <w:rsid w:val="006B7D14"/>
    <w:rsid w:val="006D1B17"/>
    <w:rsid w:val="006E34A6"/>
    <w:rsid w:val="006E476E"/>
    <w:rsid w:val="00701727"/>
    <w:rsid w:val="0070566C"/>
    <w:rsid w:val="00714C50"/>
    <w:rsid w:val="00725A7D"/>
    <w:rsid w:val="007501BE"/>
    <w:rsid w:val="00790BB3"/>
    <w:rsid w:val="007C206C"/>
    <w:rsid w:val="007F42B2"/>
    <w:rsid w:val="00803D24"/>
    <w:rsid w:val="00817DD6"/>
    <w:rsid w:val="00857C2A"/>
    <w:rsid w:val="00885156"/>
    <w:rsid w:val="008E49B2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AD5822"/>
    <w:rsid w:val="00B1671E"/>
    <w:rsid w:val="00B25EB8"/>
    <w:rsid w:val="00B354E1"/>
    <w:rsid w:val="00B37F4D"/>
    <w:rsid w:val="00BC53E6"/>
    <w:rsid w:val="00BF4386"/>
    <w:rsid w:val="00BF6CE1"/>
    <w:rsid w:val="00C1377E"/>
    <w:rsid w:val="00C42992"/>
    <w:rsid w:val="00C52A7B"/>
    <w:rsid w:val="00C56BAF"/>
    <w:rsid w:val="00C636FF"/>
    <w:rsid w:val="00C679AA"/>
    <w:rsid w:val="00C75972"/>
    <w:rsid w:val="00C86EDD"/>
    <w:rsid w:val="00C96C4F"/>
    <w:rsid w:val="00CC0A3A"/>
    <w:rsid w:val="00CD066B"/>
    <w:rsid w:val="00CD1ECC"/>
    <w:rsid w:val="00CD58FC"/>
    <w:rsid w:val="00CE4FEE"/>
    <w:rsid w:val="00DB59C3"/>
    <w:rsid w:val="00DC259A"/>
    <w:rsid w:val="00DE23E8"/>
    <w:rsid w:val="00DF1C30"/>
    <w:rsid w:val="00E25E31"/>
    <w:rsid w:val="00E27237"/>
    <w:rsid w:val="00E52377"/>
    <w:rsid w:val="00E64E17"/>
    <w:rsid w:val="00E71F72"/>
    <w:rsid w:val="00E866C9"/>
    <w:rsid w:val="00EA3D3C"/>
    <w:rsid w:val="00EA6554"/>
    <w:rsid w:val="00F131B8"/>
    <w:rsid w:val="00F46900"/>
    <w:rsid w:val="00F52106"/>
    <w:rsid w:val="00F61D89"/>
    <w:rsid w:val="00F636E1"/>
    <w:rsid w:val="00FA0C6F"/>
    <w:rsid w:val="00FF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table" w:customStyle="1" w:styleId="TableGrid1">
    <w:name w:val="Table Grid1"/>
    <w:basedOn w:val="TableNormal"/>
    <w:next w:val="TableGrid"/>
    <w:uiPriority w:val="39"/>
    <w:rsid w:val="00BF4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F4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3c10791-a93f-4953-a637-cbfcfe1edb65">
      <UserInfo>
        <DisplayName/>
        <AccountId xsi:nil="true"/>
        <AccountType/>
      </UserInfo>
    </SharedWithUsers>
    <lcf76f155ced4ddcb4097134ff3c332f xmlns="a8377d8d-2ea1-41f7-80c8-86bf9ddc9825">
      <Terms xmlns="http://schemas.microsoft.com/office/infopath/2007/PartnerControls"/>
    </lcf76f155ced4ddcb4097134ff3c332f>
    <TaxCatchAll xmlns="13c10791-a93f-4953-a637-cbfcfe1edb65" xsi:nil="true"/>
    <WorkInProgress xmlns="a8377d8d-2ea1-41f7-80c8-86bf9ddc9825">false</WorkInProgress>
    <Year xmlns="a8377d8d-2ea1-41f7-80c8-86bf9ddc9825" xsi:nil="true"/>
    <krav xmlns="a8377d8d-2ea1-41f7-80c8-86bf9ddc9825" xsi:nil="true"/>
    <Notes xmlns="a8377d8d-2ea1-41f7-80c8-86bf9ddc9825" xsi:nil="true"/>
    <WIP xmlns="a8377d8d-2ea1-41f7-80c8-86bf9ddc9825">false</WIP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82E4C23F17E24783EDE951D9BEB390" ma:contentTypeVersion="23" ma:contentTypeDescription="Create a new document." ma:contentTypeScope="" ma:versionID="9ae2a7ac8861df83416ad85c4ebcf813">
  <xsd:schema xmlns:xsd="http://www.w3.org/2001/XMLSchema" xmlns:xs="http://www.w3.org/2001/XMLSchema" xmlns:p="http://schemas.microsoft.com/office/2006/metadata/properties" xmlns:ns2="a8377d8d-2ea1-41f7-80c8-86bf9ddc9825" xmlns:ns3="13c10791-a93f-4953-a637-cbfcfe1edb65" targetNamespace="http://schemas.microsoft.com/office/2006/metadata/properties" ma:root="true" ma:fieldsID="591287b970f24076d2edca96916e205b" ns2:_="" ns3:_="">
    <xsd:import namespace="a8377d8d-2ea1-41f7-80c8-86bf9ddc9825"/>
    <xsd:import namespace="13c10791-a93f-4953-a637-cbfcfe1ed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Notes" minOccurs="0"/>
                <xsd:element ref="ns2:krav" minOccurs="0"/>
                <xsd:element ref="ns2:WorkInProgress" minOccurs="0"/>
                <xsd:element ref="ns2:WIP" minOccurs="0"/>
                <xsd:element ref="ns2:Yea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77d8d-2ea1-41f7-80c8-86bf9ddc98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18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krav" ma:index="19" nillable="true" ma:displayName="Notes" ma:internalName="krav">
      <xsd:simpleType>
        <xsd:restriction base="dms:Text"/>
      </xsd:simpleType>
    </xsd:element>
    <xsd:element name="WorkInProgress" ma:index="20" nillable="true" ma:displayName="Work In Progress" ma:default="0" ma:format="Dropdown" ma:internalName="WorkInProgress">
      <xsd:simpleType>
        <xsd:restriction base="dms:Boolean"/>
      </xsd:simpleType>
    </xsd:element>
    <xsd:element name="WIP" ma:index="21" nillable="true" ma:displayName="WIP" ma:default="0" ma:internalName="WIP">
      <xsd:simpleType>
        <xsd:restriction base="dms:Boolean"/>
      </xsd:simpleType>
    </xsd:element>
    <xsd:element name="Year" ma:index="22" nillable="true" ma:displayName="Year" ma:format="Dropdown" ma:internalName="Year">
      <xsd:simpleType>
        <xsd:restriction base="dms:Text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6bd0217a-e011-4c2f-98a2-a5fb2272a2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10791-a93f-4953-a637-cbfcfe1edb6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d8b0bc4d-b280-4a02-b0cd-1a39ee0f4315}" ma:internalName="TaxCatchAll" ma:showField="CatchAllData" ma:web="13c10791-a93f-4953-a637-cbfcfe1edb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13c10791-a93f-4953-a637-cbfcfe1edb65"/>
    <ds:schemaRef ds:uri="a8377d8d-2ea1-41f7-80c8-86bf9ddc9825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5A4A07-B7AF-4805-BFEF-EA929015C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77d8d-2ea1-41f7-80c8-86bf9ddc9825"/>
    <ds:schemaRef ds:uri="13c10791-a93f-4953-a637-cbfcfe1ed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C:\Users\hannah.eccles\OneDrive - Frontiers Media SA\Documents\Latex work\Sep 2022_link updates\Supplementary_Material.dotx</Template>
  <TotalTime>1078</TotalTime>
  <Pages>4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Keegan Leckie</cp:lastModifiedBy>
  <cp:revision>32</cp:revision>
  <cp:lastPrinted>2013-10-03T12:51:00Z</cp:lastPrinted>
  <dcterms:created xsi:type="dcterms:W3CDTF">2024-11-07T20:13:00Z</dcterms:created>
  <dcterms:modified xsi:type="dcterms:W3CDTF">2025-01-20T21:43:00Z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0x0101006E82E4C23F17E24783EDE951D9BEB390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