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8DF09" w14:textId="429D25C3" w:rsidR="008572F7" w:rsidRPr="0074397E" w:rsidRDefault="008572F7" w:rsidP="008572F7">
      <w:pPr>
        <w:pStyle w:val="Heading1"/>
        <w:numPr>
          <w:ilvl w:val="0"/>
          <w:numId w:val="0"/>
        </w:numPr>
        <w:ind w:left="432"/>
        <w:rPr>
          <w:rFonts w:ascii="Times New Roman" w:hAnsi="Times New Roman"/>
          <w:caps w:val="0"/>
        </w:rPr>
      </w:pPr>
      <w:r>
        <w:rPr>
          <w:rFonts w:ascii="Times New Roman" w:hAnsi="Times New Roman"/>
          <w:caps w:val="0"/>
        </w:rPr>
        <w:t>Supplemental Materials</w:t>
      </w:r>
    </w:p>
    <w:p w14:paraId="587151D5" w14:textId="77777777" w:rsidR="008572F7" w:rsidRDefault="008572F7" w:rsidP="008572F7">
      <w:pPr>
        <w:spacing w:after="160" w:line="259" w:lineRule="auto"/>
        <w:ind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0E5D31FF" w14:textId="1AB302C6" w:rsidR="008572F7" w:rsidRPr="00157342" w:rsidRDefault="008572F7" w:rsidP="008572F7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hAnsi="Times New Roman"/>
        </w:rPr>
      </w:pPr>
      <w:bookmarkStart w:id="0" w:name="_Toc105078148"/>
      <w:r>
        <w:rPr>
          <w:rFonts w:ascii="Times New Roman" w:hAnsi="Times New Roman"/>
        </w:rPr>
        <w:lastRenderedPageBreak/>
        <w:t>Supplement</w:t>
      </w:r>
      <w:r w:rsidRPr="00157342">
        <w:rPr>
          <w:rFonts w:ascii="Times New Roman" w:hAnsi="Times New Roman"/>
        </w:rPr>
        <w:t xml:space="preserve"> I: </w:t>
      </w:r>
      <w:r w:rsidRPr="00F70AF0">
        <w:rPr>
          <w:rFonts w:ascii="Times New Roman" w:hAnsi="Times New Roman"/>
        </w:rPr>
        <w:t xml:space="preserve">Search </w:t>
      </w:r>
      <w:proofErr w:type="gramStart"/>
      <w:r w:rsidRPr="00F70AF0">
        <w:rPr>
          <w:rFonts w:ascii="Times New Roman" w:hAnsi="Times New Roman"/>
        </w:rPr>
        <w:t>terms</w:t>
      </w:r>
      <w:bookmarkEnd w:id="0"/>
      <w:proofErr w:type="gramEnd"/>
    </w:p>
    <w:p w14:paraId="2853C068" w14:textId="77777777" w:rsidR="008572F7" w:rsidRDefault="008572F7" w:rsidP="008572F7">
      <w:pPr>
        <w:spacing w:after="160" w:line="259" w:lineRule="auto"/>
        <w:ind w:firstLine="0"/>
        <w:rPr>
          <w:rFonts w:ascii="Times New Roman" w:hAnsi="Times New Roman"/>
          <w:b/>
          <w:bCs/>
          <w:szCs w:val="24"/>
        </w:rPr>
      </w:pPr>
    </w:p>
    <w:p w14:paraId="3009152C" w14:textId="77777777" w:rsidR="008572F7" w:rsidRDefault="008572F7" w:rsidP="008572F7">
      <w:pPr>
        <w:ind w:firstLine="0"/>
        <w:rPr>
          <w:rFonts w:ascii="Times New Roman" w:hAnsi="Times New Roman"/>
          <w:b/>
          <w:bCs/>
        </w:rPr>
      </w:pPr>
      <w:r w:rsidRPr="00F019E6">
        <w:rPr>
          <w:rFonts w:ascii="Times New Roman" w:hAnsi="Times New Roman"/>
          <w:b/>
          <w:bCs/>
        </w:rPr>
        <w:t>PubMed</w:t>
      </w:r>
    </w:p>
    <w:p w14:paraId="677E0615" w14:textId="77777777" w:rsidR="008572F7" w:rsidRDefault="008572F7" w:rsidP="008572F7">
      <w:pPr>
        <w:ind w:firstLine="0"/>
        <w:rPr>
          <w:rFonts w:ascii="Times New Roman" w:hAnsi="Times New Roman"/>
        </w:rPr>
      </w:pPr>
      <w:r w:rsidRPr="00F70AF0">
        <w:rPr>
          <w:rFonts w:ascii="Times New Roman" w:hAnsi="Times New Roman"/>
        </w:rPr>
        <w:t xml:space="preserve">(cannabis OR marijuana AND depression OR depressive OR MDD AND longitudinal NOT retrospective NOT treatment NOT spatial NOT genetics NOT e-cigarette NOT policy NOT prenatal NOT prevalence NOT market NOT magnetic NOT parental NOT family NOT </w:t>
      </w:r>
      <w:proofErr w:type="spellStart"/>
      <w:r w:rsidRPr="00F70AF0">
        <w:rPr>
          <w:rFonts w:ascii="Times New Roman" w:hAnsi="Times New Roman"/>
        </w:rPr>
        <w:t>schizot</w:t>
      </w:r>
      <w:proofErr w:type="spellEnd"/>
      <w:r w:rsidRPr="00F70AF0">
        <w:rPr>
          <w:rFonts w:ascii="Times New Roman" w:hAnsi="Times New Roman"/>
        </w:rPr>
        <w:t xml:space="preserve">* NOT </w:t>
      </w:r>
      <w:proofErr w:type="spellStart"/>
      <w:r w:rsidRPr="00F70AF0">
        <w:rPr>
          <w:rFonts w:ascii="Times New Roman" w:hAnsi="Times New Roman"/>
        </w:rPr>
        <w:t>schizophren</w:t>
      </w:r>
      <w:proofErr w:type="spellEnd"/>
      <w:r w:rsidRPr="00F70AF0">
        <w:rPr>
          <w:rFonts w:ascii="Times New Roman" w:hAnsi="Times New Roman"/>
        </w:rPr>
        <w:t>* NOT receptor)</w:t>
      </w:r>
    </w:p>
    <w:p w14:paraId="68BC504F" w14:textId="77777777" w:rsidR="008572F7" w:rsidRPr="00F019E6" w:rsidRDefault="008572F7" w:rsidP="008572F7">
      <w:pPr>
        <w:ind w:firstLine="0"/>
        <w:rPr>
          <w:rFonts w:ascii="Times New Roman" w:hAnsi="Times New Roman"/>
          <w:b/>
          <w:bCs/>
        </w:rPr>
      </w:pPr>
      <w:proofErr w:type="spellStart"/>
      <w:r w:rsidRPr="00F019E6">
        <w:rPr>
          <w:rFonts w:ascii="Times New Roman" w:hAnsi="Times New Roman"/>
          <w:b/>
          <w:bCs/>
        </w:rPr>
        <w:t>OvidMedline</w:t>
      </w:r>
      <w:proofErr w:type="spellEnd"/>
    </w:p>
    <w:p w14:paraId="1B61CA22" w14:textId="77777777" w:rsidR="008572F7" w:rsidRDefault="008572F7" w:rsidP="008572F7">
      <w:pPr>
        <w:ind w:firstLine="0"/>
        <w:rPr>
          <w:rFonts w:ascii="Times New Roman" w:hAnsi="Times New Roman"/>
        </w:rPr>
      </w:pPr>
      <w:proofErr w:type="gramStart"/>
      <w:r w:rsidRPr="00F019E6">
        <w:rPr>
          <w:rFonts w:ascii="Times New Roman" w:hAnsi="Times New Roman"/>
        </w:rPr>
        <w:t>( (</w:t>
      </w:r>
      <w:proofErr w:type="gramEnd"/>
      <w:r w:rsidRPr="00F019E6">
        <w:rPr>
          <w:rFonts w:ascii="Times New Roman" w:hAnsi="Times New Roman"/>
        </w:rPr>
        <w:t xml:space="preserve"> AB ( cannabis or marijuana or </w:t>
      </w:r>
      <w:proofErr w:type="spellStart"/>
      <w:r w:rsidRPr="00F019E6">
        <w:rPr>
          <w:rFonts w:ascii="Times New Roman" w:hAnsi="Times New Roman"/>
        </w:rPr>
        <w:t>thc</w:t>
      </w:r>
      <w:proofErr w:type="spellEnd"/>
      <w:r w:rsidRPr="00F019E6">
        <w:rPr>
          <w:rFonts w:ascii="Times New Roman" w:hAnsi="Times New Roman"/>
        </w:rPr>
        <w:t xml:space="preserve"> or pot or weed or </w:t>
      </w:r>
      <w:proofErr w:type="spellStart"/>
      <w:r w:rsidRPr="00F019E6">
        <w:rPr>
          <w:rFonts w:ascii="Times New Roman" w:hAnsi="Times New Roman"/>
        </w:rPr>
        <w:t>thc</w:t>
      </w:r>
      <w:proofErr w:type="spellEnd"/>
      <w:r w:rsidRPr="00F019E6">
        <w:rPr>
          <w:rFonts w:ascii="Times New Roman" w:hAnsi="Times New Roman"/>
        </w:rPr>
        <w:t xml:space="preserve"> or </w:t>
      </w:r>
      <w:proofErr w:type="spellStart"/>
      <w:r w:rsidRPr="00F019E6">
        <w:rPr>
          <w:rFonts w:ascii="Times New Roman" w:hAnsi="Times New Roman"/>
        </w:rPr>
        <w:t>cbd</w:t>
      </w:r>
      <w:proofErr w:type="spellEnd"/>
      <w:r w:rsidRPr="00F019E6">
        <w:rPr>
          <w:rFonts w:ascii="Times New Roman" w:hAnsi="Times New Roman"/>
        </w:rPr>
        <w:t xml:space="preserve"> or tetrahydrocannabinol or cannabidiol ) AND AB ( depression or depressive disorder or depressive symptoms or major depressive disorder ) AND AB ( longitudinal studies or longitudinal research or longitudinal method ) ) NOT ( self-injurious behavior or </w:t>
      </w:r>
      <w:proofErr w:type="spellStart"/>
      <w:r w:rsidRPr="00F019E6">
        <w:rPr>
          <w:rFonts w:ascii="Times New Roman" w:hAnsi="Times New Roman"/>
        </w:rPr>
        <w:t>self injury</w:t>
      </w:r>
      <w:proofErr w:type="spellEnd"/>
      <w:r w:rsidRPr="00F019E6">
        <w:rPr>
          <w:rFonts w:ascii="Times New Roman" w:hAnsi="Times New Roman"/>
        </w:rPr>
        <w:t xml:space="preserve"> or </w:t>
      </w:r>
      <w:proofErr w:type="spellStart"/>
      <w:r w:rsidRPr="00F019E6">
        <w:rPr>
          <w:rFonts w:ascii="Times New Roman" w:hAnsi="Times New Roman"/>
        </w:rPr>
        <w:t>self harm</w:t>
      </w:r>
      <w:proofErr w:type="spellEnd"/>
      <w:r w:rsidRPr="00F019E6">
        <w:rPr>
          <w:rFonts w:ascii="Times New Roman" w:hAnsi="Times New Roman"/>
        </w:rPr>
        <w:t xml:space="preserve"> ) NOT ( sexually transmitted diseases or sexually transmitted infections or </w:t>
      </w:r>
      <w:proofErr w:type="spellStart"/>
      <w:r w:rsidRPr="00F019E6">
        <w:rPr>
          <w:rFonts w:ascii="Times New Roman" w:hAnsi="Times New Roman"/>
        </w:rPr>
        <w:t>sti</w:t>
      </w:r>
      <w:proofErr w:type="spellEnd"/>
      <w:r w:rsidRPr="00F019E6">
        <w:rPr>
          <w:rFonts w:ascii="Times New Roman" w:hAnsi="Times New Roman"/>
        </w:rPr>
        <w:t xml:space="preserve"> or std ) ) NOT AB opioid</w:t>
      </w:r>
    </w:p>
    <w:p w14:paraId="11942F41" w14:textId="77777777" w:rsidR="008572F7" w:rsidRDefault="008572F7" w:rsidP="008572F7">
      <w:pPr>
        <w:ind w:firstLine="0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GoogleScholar</w:t>
      </w:r>
      <w:proofErr w:type="spellEnd"/>
    </w:p>
    <w:p w14:paraId="7CE58D3A" w14:textId="77777777" w:rsidR="008572F7" w:rsidRPr="002D11A8" w:rsidRDefault="008572F7" w:rsidP="008572F7">
      <w:pPr>
        <w:ind w:firstLine="0"/>
        <w:rPr>
          <w:rFonts w:ascii="Times New Roman" w:hAnsi="Times New Roman"/>
        </w:rPr>
      </w:pPr>
      <w:r w:rsidRPr="002D11A8">
        <w:rPr>
          <w:rFonts w:ascii="Times New Roman" w:hAnsi="Times New Roman"/>
        </w:rPr>
        <w:t xml:space="preserve">(cannabis OR marijuana) AND (depression or depress) AND </w:t>
      </w:r>
      <w:proofErr w:type="gramStart"/>
      <w:r w:rsidRPr="002D11A8">
        <w:rPr>
          <w:rFonts w:ascii="Times New Roman" w:hAnsi="Times New Roman"/>
        </w:rPr>
        <w:t>longitudinal</w:t>
      </w:r>
      <w:proofErr w:type="gramEnd"/>
    </w:p>
    <w:p w14:paraId="0D67E841" w14:textId="77777777" w:rsidR="008572F7" w:rsidRDefault="008572F7" w:rsidP="008572F7">
      <w:pPr>
        <w:spacing w:after="160" w:line="259" w:lineRule="auto"/>
        <w:ind w:firstLine="0"/>
        <w:rPr>
          <w:rFonts w:ascii="Times New Roman" w:hAnsi="Times New Roman"/>
          <w:b/>
          <w:bCs/>
          <w:szCs w:val="24"/>
        </w:rPr>
      </w:pPr>
      <w:r w:rsidRPr="00186C77">
        <w:rPr>
          <w:rFonts w:ascii="Times New Roman" w:hAnsi="Times New Roman"/>
          <w:b/>
          <w:bCs/>
          <w:szCs w:val="24"/>
        </w:rPr>
        <w:t>ProQuest Dissertations &amp; Theses A&amp;I</w:t>
      </w:r>
    </w:p>
    <w:p w14:paraId="6645B497" w14:textId="77777777" w:rsidR="008572F7" w:rsidRPr="00A04DAC" w:rsidRDefault="008572F7" w:rsidP="008572F7">
      <w:pPr>
        <w:spacing w:after="160" w:line="259" w:lineRule="auto"/>
        <w:ind w:firstLine="0"/>
        <w:rPr>
          <w:rFonts w:ascii="Times New Roman" w:hAnsi="Times New Roman"/>
          <w:szCs w:val="24"/>
        </w:rPr>
      </w:pPr>
      <w:proofErr w:type="spellStart"/>
      <w:proofErr w:type="gramStart"/>
      <w:r w:rsidRPr="00A04DAC">
        <w:rPr>
          <w:rFonts w:ascii="Times New Roman" w:hAnsi="Times New Roman"/>
          <w:szCs w:val="24"/>
        </w:rPr>
        <w:t>ti</w:t>
      </w:r>
      <w:proofErr w:type="spellEnd"/>
      <w:r w:rsidRPr="00A04DAC">
        <w:rPr>
          <w:rFonts w:ascii="Times New Roman" w:hAnsi="Times New Roman"/>
          <w:szCs w:val="24"/>
        </w:rPr>
        <w:t>(</w:t>
      </w:r>
      <w:proofErr w:type="gramEnd"/>
      <w:r w:rsidRPr="00A04DAC">
        <w:rPr>
          <w:rFonts w:ascii="Times New Roman" w:hAnsi="Times New Roman"/>
          <w:szCs w:val="24"/>
        </w:rPr>
        <w:t xml:space="preserve">cannabis or marijuana) AND </w:t>
      </w:r>
      <w:proofErr w:type="spellStart"/>
      <w:r w:rsidRPr="00A04DAC">
        <w:rPr>
          <w:rFonts w:ascii="Times New Roman" w:hAnsi="Times New Roman"/>
          <w:szCs w:val="24"/>
        </w:rPr>
        <w:t>ti</w:t>
      </w:r>
      <w:proofErr w:type="spellEnd"/>
      <w:r w:rsidRPr="00A04DAC">
        <w:rPr>
          <w:rFonts w:ascii="Times New Roman" w:hAnsi="Times New Roman"/>
          <w:szCs w:val="24"/>
        </w:rPr>
        <w:t>(depression or depress)</w:t>
      </w:r>
      <w:r>
        <w:rPr>
          <w:rFonts w:ascii="Times New Roman" w:hAnsi="Times New Roman"/>
          <w:szCs w:val="24"/>
        </w:rPr>
        <w:t>; limit to doctoral dissertations only</w:t>
      </w:r>
    </w:p>
    <w:p w14:paraId="1B2E00CA" w14:textId="17E8E7A6" w:rsidR="008572F7" w:rsidRPr="00157342" w:rsidRDefault="008572F7" w:rsidP="008572F7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hAnsi="Times New Roman"/>
        </w:rPr>
        <w:sectPr w:rsidR="008572F7" w:rsidRPr="00157342" w:rsidSect="008572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  <w:bookmarkStart w:id="1" w:name="_Toc105078149"/>
      <w:r>
        <w:rPr>
          <w:rFonts w:ascii="Times New Roman" w:hAnsi="Times New Roman"/>
        </w:rPr>
        <w:lastRenderedPageBreak/>
        <w:t>Supplement</w:t>
      </w:r>
      <w:r w:rsidRPr="001573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</w:t>
      </w:r>
      <w:r w:rsidRPr="00157342">
        <w:rPr>
          <w:rFonts w:ascii="Times New Roman" w:hAnsi="Times New Roman"/>
        </w:rPr>
        <w:t>I: Screening tool</w:t>
      </w:r>
      <w:bookmarkEnd w:id="1"/>
    </w:p>
    <w:p w14:paraId="4EE1097E" w14:textId="77777777" w:rsidR="008572F7" w:rsidRPr="00610C27" w:rsidRDefault="008572F7" w:rsidP="008572F7">
      <w:pPr>
        <w:rPr>
          <w:rFonts w:ascii="Times New Roman" w:hAnsi="Times New Roman"/>
          <w:b/>
          <w:bCs/>
        </w:rPr>
      </w:pPr>
      <w:r w:rsidRPr="00610C27">
        <w:rPr>
          <w:rFonts w:ascii="Times New Roman" w:hAnsi="Times New Roman"/>
          <w:b/>
          <w:bCs/>
        </w:rPr>
        <w:lastRenderedPageBreak/>
        <w:t>Original Search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3095"/>
        <w:gridCol w:w="987"/>
        <w:gridCol w:w="1318"/>
        <w:gridCol w:w="1260"/>
        <w:gridCol w:w="1800"/>
        <w:gridCol w:w="1260"/>
        <w:gridCol w:w="990"/>
        <w:gridCol w:w="3690"/>
      </w:tblGrid>
      <w:tr w:rsidR="008572F7" w:rsidRPr="00A04DAC" w14:paraId="4B837719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04E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Citation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315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Does it mention cannabis?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84E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Does it mention depression?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C25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Is it a longitudinal study?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ADB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Does it specify cannabis use before depression?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6BB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Is it a special population?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5A8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Decision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96B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Notes</w:t>
            </w:r>
          </w:p>
        </w:tc>
      </w:tr>
      <w:tr w:rsidR="008572F7" w:rsidRPr="00A04DAC" w14:paraId="5726A70B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D7CDAE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Hines LA, Freeman TP, Gage SH, et al. Association of High-Potency Cannabis Use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With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Mental Health and Substance Use in Adolescence. JAMA Psychiatry. 2020;77(10):1044-1051.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E62A6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F4A50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6AE21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86F83A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1BC4C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only cannabis users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5948A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145359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because it only looked at cannabis users for their analysis and did not compare cannabis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users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vs non users</w:t>
            </w:r>
          </w:p>
        </w:tc>
      </w:tr>
      <w:tr w:rsidR="008572F7" w:rsidRPr="00A04DAC" w14:paraId="0FCEE7FE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0E3372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Gage SH, Hickman M, Heron J, et al. Associations of Cannabis and Cigarette Use with Depression and Anxiety at Age 18: Findings from the Avon Longitudinal Study of Parents and Children. PLOS ONE. 2015;10(4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):e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0122896.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doi:10.1371/journal.pone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.0122896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7C69BA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94ECF2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F6EF7C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F25851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D6FD77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6A9445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14:paraId="56AEED3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8572F7" w:rsidRPr="00A04DAC" w14:paraId="43DDDD43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A6B7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Cannabis and anxiety and depression in young adults: a large prospective study.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E0DE0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B2BA9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but only in combination with anxiety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ADED7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47C565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09D6C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812B1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5FF8E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separate depression from anxiety</w:t>
            </w:r>
          </w:p>
        </w:tc>
      </w:tr>
      <w:tr w:rsidR="008572F7" w:rsidRPr="00A04DAC" w14:paraId="7ADC7DFA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7E37A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Fergusson DM, Horwood LJ, Swain-Campbell NR. Cannabis dependence and psychotic symptoms in young people. Psychological Medicine. 2003;33(1):15-21. doi:10.1017/S0033291702006402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2A7D4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14E4A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95E9E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3A7AE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8A277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19E78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D3652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"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psychotic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symptoms" and not depression</w:t>
            </w:r>
          </w:p>
        </w:tc>
      </w:tr>
      <w:tr w:rsidR="008572F7" w:rsidRPr="00A04DAC" w14:paraId="41CBC4C8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D9E6D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Wittchen HU, Fröhlich C, Behrendt S, et al. Cannabis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use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cannabis use disorders and their relationship to mental disorders: A 10-year prospective-longitudinal community study in adolescents. Drug and Alcohol Dependence. 2007;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88:S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60-S70.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.2006.12.013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79AC3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D1437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1581E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25165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D6F3E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56C44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B47A7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temporal association of cannabis - depression not established</w:t>
            </w:r>
          </w:p>
        </w:tc>
      </w:tr>
      <w:tr w:rsidR="008572F7" w:rsidRPr="00A04DAC" w14:paraId="78DE1D81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1490F6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563C1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sz w:val="18"/>
                <w:szCs w:val="18"/>
              </w:rPr>
              <w:t>Fergusson DM, Boden JM. Cannabis use and later life outcomes. Addiction. 2008;103(6):969-976. doi:10.1111/j.1360-0443.</w:t>
            </w:r>
            <w:proofErr w:type="gramStart"/>
            <w:r w:rsidRPr="00D813AB">
              <w:rPr>
                <w:rFonts w:ascii="Times New Roman" w:eastAsia="Times New Roman" w:hAnsi="Times New Roman"/>
                <w:sz w:val="18"/>
                <w:szCs w:val="18"/>
              </w:rPr>
              <w:t>2008.02221.x</w:t>
            </w:r>
            <w:proofErr w:type="gramEnd"/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AE1186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72A29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0D3DC3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B3D24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97567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DC387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A7014E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look at depression</w:t>
            </w:r>
          </w:p>
        </w:tc>
      </w:tr>
      <w:tr w:rsidR="008572F7" w:rsidRPr="00A04DAC" w14:paraId="430E6056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C1EE44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Blanco C, Hasin DS, Wall MM, et al. Cannabis Use and Risk of Psychiatric Disorders: Prospective Evidence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From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 US National Longitudinal Study. JAMA Psychiatry. 2016;73(4):388-395. doi:10.1001/jamapsychiatry.2015.3229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828994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88C89F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2958E6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E854F7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B47B6E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94131E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52477A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it is the same population as Feingold, 2014</w:t>
            </w:r>
          </w:p>
        </w:tc>
      </w:tr>
      <w:tr w:rsidR="008572F7" w:rsidRPr="00A04DAC" w14:paraId="4028B794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9929EF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Feingold D, Rehm J, Lev-Ran S.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Cannabis use and the course and outcome of major depressive disorder: A population based longitudinal study. Psychiatry Research.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2017;251:225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-234.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doi:10.1016/j.psychres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.2017.02.027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E8DD1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75BAA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7858A1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0F081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B5561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yes - people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with major depressive disorder at baseline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7B5332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786E3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only looked at people with MDD at baseline</w:t>
            </w:r>
          </w:p>
        </w:tc>
      </w:tr>
      <w:tr w:rsidR="008572F7" w:rsidRPr="00A04DAC" w14:paraId="56D4CD32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51777D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Arseneault L. Cannabis use in adolescence and risk for adult psychosis: longitudinal prospective study. BMJ. 2002;325(7374):1212-1213. doi:10.1136/bmj.325.7374.1212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05C589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1BFF77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C85832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905FAE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576B06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55951E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14:paraId="2EA6FA1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8572F7" w:rsidRPr="00A04DAC" w14:paraId="469F552C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D0E1A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Hawke LD, Wilkins L, Henderson J. Early cannabis initiation: Substance use and mental health profiles of service-seeking youth. Journal of Adolescence.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2020;83:112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-121.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doi:10.1016/j.adolescence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.2020.06.004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6D085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5E5376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58AA5A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011B6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86342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service seeking youth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38BE3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A8966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 and special population</w:t>
            </w:r>
          </w:p>
        </w:tc>
      </w:tr>
      <w:tr w:rsidR="008572F7" w:rsidRPr="00A04DAC" w14:paraId="7962C3E6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934BB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Gunn RL, Stevens AK, Micalizzi L, Jackson KM, Borsari B,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Metrik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J. Longitudinal associations between negative urgency, symptoms of depression,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cannabis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alcohol use in veterans. Experimental and Clinical Psychopharmacology. 2020;28(4):426-437. doi:10.1037/pha0000357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CC269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F20FE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59EE7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1DE5F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C0CA22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Iraqi war veterans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B689F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4D6A41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too niche of a population</w:t>
            </w:r>
          </w:p>
        </w:tc>
      </w:tr>
      <w:tr w:rsidR="008572F7" w:rsidRPr="00A04DAC" w14:paraId="799D659D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0246D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Rasic D, Weerasinghe S, Asbridge M, Langille DB. Longitudinal associations of cannabis and illicit drug use with depression, suicidal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ideation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suicidal attempts among Nova Scotia high school students. Drug and Alcohol Dependence. 2013;129(1):49-53.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.2012.09.009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6387E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yes, but also other </w:t>
            </w:r>
            <w:proofErr w:type="spellStart"/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ilicit</w:t>
            </w:r>
            <w:proofErr w:type="spellEnd"/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drugs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62A4A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75389C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yes, but also concurrent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AD9CC3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07D59C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3E9759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51F7D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looked at cannabis use and depression concurrently; longitudinal association was only on groups that used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cannabis+other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illicit drugs compared to cannabis users</w:t>
            </w:r>
          </w:p>
        </w:tc>
      </w:tr>
      <w:tr w:rsidR="008572F7" w:rsidRPr="00A04DAC" w14:paraId="61428D39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65043E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Danielsson AK, Lundin A,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Agardh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E,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Allebeck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P, Forsell Y. Cannabis use,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depression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anxiety: A 3-year prospective population-based study. Journal of Affective Disorders.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2016;193:103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-108.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doi:10.1016/j.jad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.2015.12.045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04AB9B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DC4249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BC467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9E8111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6E421E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F57B8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C8FBC9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8572F7" w:rsidRPr="00A04DAC" w14:paraId="134F68F4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130AF8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London-Nadeau K, Rioux C, Parent S, et al. Longitudinal associations of cannabis, depression, and anxiety in heterosexual and LGB adolescents. J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Abnorm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Psychol. 2021;130(4):333-345. doi:10.1037/abn0000542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CAB67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C7E18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24DFF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6B22A8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17592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C44FF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43D6B7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provide needed information on cannabis - depression</w:t>
            </w:r>
          </w:p>
        </w:tc>
      </w:tr>
      <w:tr w:rsidR="008572F7" w:rsidRPr="00A04DAC" w14:paraId="2AE06011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7A142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Hengartner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MP, Angst J,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Ajdacic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-Gross V, Rössler W. Cannabis use during adolescence and the occurrence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of depression,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suicidality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anxiety disorder across adulthood: Findings from a longitudinal cohort study over 30 years. Journal of Affective Disorders.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2020;272:98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-103.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doi:10.1016/j.jad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.2020.03.126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633EB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06A78B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FA66DE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D249A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4612BE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DEA77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CA886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8572F7" w:rsidRPr="00A04DAC" w14:paraId="2EA3BF85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D234E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Dyar C, Bradley H, Morgan E, Sullivan PS,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Mustanski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B. Reduction and Cessation of Alcohol, Cannabis, and Stimulant Use: Prospective Associations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With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Changes in Depressive Symptoms Across Two Cohort Studies of Sexual and Gender Minorities. J Stud Alcohol Drugs. 2020;81(6):790-797.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745769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E42B1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560B3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F8179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AEC07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19C12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B14238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looks at changes in use, which is beyond the scope of this review</w:t>
            </w:r>
          </w:p>
        </w:tc>
      </w:tr>
      <w:tr w:rsidR="008572F7" w:rsidRPr="00A04DAC" w14:paraId="19FE97DD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F7241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Fergusson DM, Horwood LJ, Ridder EM. Tests of causal linkages between cannabis use and psychotic symptoms. Addiction. 2005;100(3):354-366. doi:10.1111/j.1360-0443.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2005.01001.x</w:t>
            </w:r>
            <w:proofErr w:type="gramEnd"/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313B5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BF158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2AAE05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06C8DA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F83B7E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33108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0CFAC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psychotic symptoms but not depression</w:t>
            </w:r>
          </w:p>
        </w:tc>
      </w:tr>
      <w:tr w:rsidR="008572F7" w:rsidRPr="00A04DAC" w14:paraId="3D673C9E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14C9D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Feingold D, Weiser M, Rehm J, Lev-Ran S. The association between cannabis use and mood disorders: A longitudinal study. Journal of Affective Disorders.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2015;172:211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-218.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doi:10.1016/j.jad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.2014.10.006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38FD45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FD1A68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8EF821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5E3A1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4E6813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9F8933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14:paraId="40349C9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8572F7" w:rsidRPr="00A04DAC" w14:paraId="3BDDAC68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8D605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5A4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nb-NO"/>
              </w:rPr>
              <w:t xml:space="preserve">Campeny E, López-Pelayo H, Nutt D, et al.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The blind men and the elephant: Systematic review of systematic reviews of cannabis use related health harms. European Neuropsychopharmacology.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2020;33:1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-35.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doi:10.1016/j.euroneuro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.2020.02.003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B6263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4E453A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69574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review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46081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B08D1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22143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6F09F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systematic review</w:t>
            </w:r>
          </w:p>
        </w:tc>
      </w:tr>
      <w:tr w:rsidR="008572F7" w:rsidRPr="00A04DAC" w14:paraId="54E34C3E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22BF8A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Silins E, Horwood LJ, Patton GC, et al.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Young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adult sequelae of adolescent cannabis use: an integrative analysis.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The Lancet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Psychiatry. </w:t>
            </w:r>
            <w:r w:rsidRPr="00D813AB">
              <w:rPr>
                <w:rFonts w:ascii="Times New Roman" w:hAnsi="Times New Roman"/>
                <w:b/>
                <w:bCs/>
                <w:sz w:val="18"/>
                <w:szCs w:val="18"/>
              </w:rPr>
              <w:t>`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2014;1(4):286-293. doi:10.1016/S2215-0366(14)70307-4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EF2DE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1C1E8B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0890F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review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EAF06B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A154E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43D5A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0681B1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meta-analysis of three cohort studies which we already included</w:t>
            </w:r>
          </w:p>
        </w:tc>
      </w:tr>
      <w:tr w:rsidR="008572F7" w:rsidRPr="00A04DAC" w14:paraId="62DF3314" w14:textId="77777777" w:rsidTr="00931D58">
        <w:trPr>
          <w:trHeight w:val="288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F0C40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Copeland WE, Hill SN, Shanahan L. Adult Psychiatric, Substance, and Functional Outcomes of Different Definitions of Early Cannabis Use. Journal of the American Academy of Child &amp; Adolescent Psychiatry. 2022;61(4):533-543.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doi:10.1016/j.jaac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.2021.07.824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59D5B1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0BD838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16BFF5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72FFEB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4B258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8EB28E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08CC14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27B77D54" w14:textId="77777777" w:rsidR="008572F7" w:rsidRDefault="008572F7" w:rsidP="008572F7">
      <w:pPr>
        <w:rPr>
          <w:rFonts w:ascii="Times New Roman" w:hAnsi="Times New Roman"/>
          <w:b/>
          <w:bCs/>
        </w:rPr>
      </w:pPr>
    </w:p>
    <w:p w14:paraId="454FCB0B" w14:textId="77777777" w:rsidR="008572F7" w:rsidRPr="00A04DAC" w:rsidRDefault="008572F7" w:rsidP="008572F7">
      <w:pPr>
        <w:rPr>
          <w:rFonts w:ascii="Times New Roman" w:hAnsi="Times New Roman"/>
          <w:b/>
          <w:bCs/>
        </w:rPr>
      </w:pPr>
      <w:r w:rsidRPr="00A04DAC">
        <w:rPr>
          <w:rFonts w:ascii="Times New Roman" w:hAnsi="Times New Roman"/>
          <w:b/>
          <w:bCs/>
        </w:rPr>
        <w:lastRenderedPageBreak/>
        <w:t>Ancestor Search</w:t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1301"/>
        <w:gridCol w:w="2982"/>
        <w:gridCol w:w="1439"/>
        <w:gridCol w:w="1333"/>
        <w:gridCol w:w="1358"/>
        <w:gridCol w:w="1333"/>
        <w:gridCol w:w="1346"/>
        <w:gridCol w:w="933"/>
        <w:gridCol w:w="1038"/>
        <w:gridCol w:w="1553"/>
      </w:tblGrid>
      <w:tr w:rsidR="008572F7" w:rsidRPr="00A04DAC" w14:paraId="0C5C4BBD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426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Parent Article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633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Citation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BBA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Does it mention cannabis?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AF8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Does it mention depression?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171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Is it a longitudinal study?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D4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Does it specify cannabis use before depression?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12B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Is it a special population?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8B1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Is it a review article?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A30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Decision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542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Notes</w:t>
            </w:r>
          </w:p>
        </w:tc>
      </w:tr>
      <w:tr w:rsidR="008572F7" w:rsidRPr="00A04DAC" w14:paraId="64E805CD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D256E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F5C62B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Assari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S, Mistry R, Caldwell CH, Zimmerman MA. Marijuana Use and Depressive Symptoms; Gender Differences in African American Adolescents. Front Psychol.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2018;9:2135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doi:10.3389/fpsyg.2018.02135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44B47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4CB2D5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9737C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447B1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33872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African American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D50D4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26A5CE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57A6E5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path analysis rather than odds</w:t>
            </w:r>
          </w:p>
        </w:tc>
      </w:tr>
      <w:tr w:rsidR="008572F7" w:rsidRPr="00A04DAC" w14:paraId="2A2DA2A7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336F8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4A50A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Bechtold J, Simpson T, White HR, Pardini D. Chronic adolescent marijuana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use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as a risk factor for physical and mental health problems in young adult men. Psychol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2015;29(3):552-563. doi:10.1037/adb0000103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0502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4BBD3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A6B42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5A3FD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4F143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men only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C81D6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81E0AC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90843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provide depression outcomes</w:t>
            </w:r>
          </w:p>
        </w:tc>
      </w:tr>
      <w:tr w:rsidR="008572F7" w:rsidRPr="00A04DAC" w14:paraId="3D64AA5D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3C5A4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4984A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Bornovalova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MA, Verhulst B, Webber T, McGue M, Iacono WG, Hicks BM. Genetic and environmental influences on the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codevelopment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among borderline personality disorder traits, major depression symptoms, and substance use disorder symptoms from adolescence to young adulthood. Dev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Psychopathol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2018;30(1):49-65. doi:10.1017/S0954579417000463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F732E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D9F4E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496391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18C6A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8AB1D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D55A8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FEA33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CC85B5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cannabis</w:t>
            </w:r>
          </w:p>
        </w:tc>
      </w:tr>
      <w:tr w:rsidR="008572F7" w:rsidRPr="00A04DAC" w14:paraId="7EBFC9E1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E88D7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89279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5A4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nb-NO"/>
              </w:rPr>
              <w:t xml:space="preserve">de Graaf R, Radovanovic M, van Laar M, et al.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Early cannabis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use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estimated risk of later onset of depression spells: Epidemiologic evidence from the population-based World Health Organization World Mental Health Survey Initiative. Am J Epidemiol. 2010;172(2):149-159. doi:10.1093/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aje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/kwq096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BFA4C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C20CAC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110B48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cross sectional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8EB40C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216EB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A1F02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86B1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470CB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08443849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EB0B12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89EFA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Dembo R, Krupa J, Wareham J, Schmeidler J, DiClemente RJ. A Multigroup, Longitudinal Study of Truant Youths, Marijuana Use, Depression, and STD-Associated Sexual Risk Behavior. J Child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Adolesc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Subst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Abuse. 2017;26(3):192-204.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doi:10.1080/1067828X.2016.1260510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5BCA20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9FD86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</w:t>
            </w:r>
            <w:proofErr w:type="gramEnd"/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but not as an outcome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3DD1B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A4363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3C003C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truant youth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85E3E3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868C8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exlcude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CA770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focused on cannabis - depression link</w:t>
            </w:r>
          </w:p>
        </w:tc>
      </w:tr>
      <w:tr w:rsidR="008572F7" w:rsidRPr="00A04DAC" w14:paraId="3A6FDA7E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2FF09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2E4AF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Feingold D, Weinstein A. Cannabis and Depression. Adv Exp Med Biol.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2021;1264:67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-80. doi:10.1007/978-3-030-57369-0_5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FECBB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D9C0C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C4C2C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C71CA4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46ABCA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D4DE0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55F68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EDF5FE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a study</w:t>
            </w:r>
          </w:p>
        </w:tc>
      </w:tr>
      <w:tr w:rsidR="008572F7" w:rsidRPr="00A04DAC" w14:paraId="24439ACF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1DF3F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825C6B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Gorka SM, Shankman SA, Seeley JR,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Lewinsohn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PM. The moderating effect of parental illicit substance use disorders on the relation between adolescent depression and subsequent illicit substance use disorders. Drug Alcohol Depend. 2013;128(1-2):1-7.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.2012.07.011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452EE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2608C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2B634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8C825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7144D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youth with parents who use drugs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6B6C0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bottom"/>
          </w:tcPr>
          <w:p w14:paraId="6F1D67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26A98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the right population</w:t>
            </w:r>
          </w:p>
        </w:tc>
      </w:tr>
      <w:tr w:rsidR="008572F7" w:rsidRPr="00A04DAC" w14:paraId="1FA5C5C6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96B21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3B13B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Kuhns L, Kroon E, Colyer-Patel K, Cousijn J. Associations between cannabis use, cannabis use disorder, and mood disorders: longitudinal, genetic, and neurocognitive evidence. Psychopharmacology (Berl). Published online November 6, 2021. doi:10.1007/s00213-021-06001-8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703AE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8FBD0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E548A7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review article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50E2E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1D928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78A4FD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265B1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A81C66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review article</w:t>
            </w:r>
          </w:p>
        </w:tc>
      </w:tr>
      <w:tr w:rsidR="008572F7" w:rsidRPr="00A04DAC" w14:paraId="463858EC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A0FAA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BD65B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Lee JY, Brook JS, Kim W. Triple trajectories of alcohol use, tobacco use, and depressive symptoms as predictors of cannabis use disorders among urban adults. Psychol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2018;32(4):466-474. doi:10.1037/adb00003731. Lee JY, Brook JS, Kim W. Triple trajectories of alcohol use, tobacco use, and depressive symptoms as predictors of cannabis use disorders among urban adults. Psychol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2018;32(4):466-474. doi:10.1037/adb0000373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F4C18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B2198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68B6CE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DD874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9A77F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EF9372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C535F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B3650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looks at depression - CUD</w:t>
            </w:r>
          </w:p>
        </w:tc>
      </w:tr>
      <w:tr w:rsidR="008572F7" w:rsidRPr="00A04DAC" w14:paraId="6C7CA797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AB82E3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D22E6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Leventhal AM, Cho J, Stone MD, et al. Associations between anhedonia and marijuana use escalation across mid-adolescence. Addiction. 2017;112(12):2182-2190. doi:10.1111/add.13912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84AFC4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FBC5DD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868261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E893FD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637AC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D69929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2A499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56B57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anhedonia not depression</w:t>
            </w:r>
          </w:p>
        </w:tc>
      </w:tr>
      <w:tr w:rsidR="008572F7" w:rsidRPr="00A04DAC" w14:paraId="20CD8F9D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536346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B84561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Looby A, Earleywine M. Negative consequences associated with dependence in daily cannabis users.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Subst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Abuse Treat Prev Policy.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2007;2:3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doi:10.1186/1747-597X-2-3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E6821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18D9B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064E7A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A1683B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C721B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E64B6A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C1053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F18D7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depression</w:t>
            </w:r>
          </w:p>
        </w:tc>
      </w:tr>
      <w:tr w:rsidR="008572F7" w:rsidRPr="00A04DAC" w14:paraId="3B2F7147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0B2B1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81D06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Lucatch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AM, Coles AS, Hill KP, George TP. Cannabis and Mood Disorders. Curr Addict Rep.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2018;5(3):336-345. doi:10.1007/s40429-018-0214-y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B24C33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6270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893FD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62EE5B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5EC4F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B7228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3B3827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A19DC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review article</w:t>
            </w:r>
          </w:p>
        </w:tc>
      </w:tr>
      <w:tr w:rsidR="008572F7" w:rsidRPr="00A04DAC" w14:paraId="7842C2EC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19864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41820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Pahl K, Brook JS, Koppel J. Trajectories of marijuana use and psychological adjustment among urban African American and Puerto Rican women. Psychol Med. 2011;41(8):1775-1783. doi:10.1017/S0033291710002345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26026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537550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C4DF8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C11C6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6BA91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African American and Puerto Rican women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435D2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bottom"/>
          </w:tcPr>
          <w:p w14:paraId="3C59940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90E23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provide data on odds of depression after cannabis use (only average depression score)</w:t>
            </w:r>
          </w:p>
        </w:tc>
      </w:tr>
      <w:tr w:rsidR="008572F7" w:rsidRPr="00A04DAC" w14:paraId="6191F818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3CD65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F886B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Rey JM, Tennant CC.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Cannabis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mental health. BMJ. 2002;325(7374):1183-1184. doi:10.1136/bmj.325.7374.1183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555585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62B32D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491F4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A424FE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FFE14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F71450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71927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0C4A7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review article</w:t>
            </w:r>
          </w:p>
        </w:tc>
      </w:tr>
      <w:tr w:rsidR="008572F7" w:rsidRPr="00A04DAC" w14:paraId="22CB8433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7E79F6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DA7D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Smolkina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M, Morley KI, Rijsdijk F, et al. Cannabis and Depression: A Twin Model Approach to Co-morbidity.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Genet. 2017;47(4):394-404. doi:10.1007/s10519-017-9848-0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13E7C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EAEC0C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25D70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B6E76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D76B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twins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53674C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52A1C2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86F0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report cannabis - depression</w:t>
            </w:r>
          </w:p>
        </w:tc>
      </w:tr>
      <w:tr w:rsidR="008572F7" w:rsidRPr="00A04DAC" w14:paraId="5F1B13CC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9B553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Bovasso, 2001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21242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Womack SR, Shaw DS, Weaver CM, Forbes EE. Bidirectional Associations Between Cannabis Use and Depressive Symptoms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From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Adolescence Through Early Adulthood Among At-Risk Young Men. J Stud Alcohol Drugs. 2016;77(2):287-297. doi:10.15288/jsad.2016.77.287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73D74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716E86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DFA6C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0E83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DC6EB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at risk men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9010E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E6925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88F49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bidirectional and special population of men who are at risk for depression and cannabis use</w:t>
            </w:r>
          </w:p>
        </w:tc>
      </w:tr>
      <w:tr w:rsidR="008572F7" w:rsidRPr="00A04DAC" w14:paraId="33C364F8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CD370F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6A2B21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 JS, Stimmel MA, Zhang C, Brook DW. The association between earlier marijuana use and subsequent academic achievement and health problems: a longitudinal study. Am J Addict. 2008;17(2):155-160. doi:10.1080/10550490701860930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96F2D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EE53A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0C270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A43017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79B8FE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ECD68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EDEC2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8A67F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depression</w:t>
            </w:r>
          </w:p>
        </w:tc>
      </w:tr>
      <w:tr w:rsidR="008572F7" w:rsidRPr="00A04DAC" w14:paraId="5841AA01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0549B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E9161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Brook JS, Zhang C,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Leukefeld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CG, Brook DW. Marijuana use from adolescence to adulthood: developmental trajectories and their outcomes. Soc Psychiatry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Psychiatr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Epidemiol. 2016;51(10):1405-1415. doi:10.1007/s00127-016-1229-0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00734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5424B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71269D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73F8C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1C050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F96E0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FEDAE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1FEFD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depression</w:t>
            </w:r>
          </w:p>
        </w:tc>
      </w:tr>
      <w:tr w:rsidR="008572F7" w:rsidRPr="00A04DAC" w14:paraId="45A65AC2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23D57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C0D55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Chinet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L,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Plancherel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B, Bolognini M, et al. Substance use and depression. Comparative course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adolescents.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Eur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Child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Adolesc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Psychiatry. 2006;15(3):149-155. doi:10.1007/s00787-005-0516-1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C4B99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112AE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A6BCB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A2EDE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8CC76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CB6FA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086FEF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5F0E5A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looks at depression and cannabis simultaneously</w:t>
            </w:r>
          </w:p>
        </w:tc>
      </w:tr>
      <w:tr w:rsidR="008572F7" w:rsidRPr="00A04DAC" w14:paraId="3B456453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9F4955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116A9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Chuang CWI, Chan C, Leventhal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AM. Adolescent Emotional Pathology and Lifetime History of Alcohol or Drug Use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With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Without Comorbid Tobacco Use. J Dual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Diagn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2016;12(1):27-35. doi:10.1080/15504263.2016.1146557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34049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0A102D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F7318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534A53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B33BA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031A4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413F5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CC2E12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1E5D9361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2689F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1886D7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Fairman BJ, Anthony JC. Are early-onset cannabis smokers at an increased risk of depression spells? J Affect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Disord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2012;138(1-2):54-62.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doi:10.1016/j.jad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.2011.12.031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DCAE9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221FB4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CB2476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6B495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4E9442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E96DC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24652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4A1D9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7DE4CE78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EBB73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DFD38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Filipponi C, Petrocchi S,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Camerini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AL. Bullying and Substance Use in Early Adolescence: Investigating the Longitudinal and Reciprocal Effects Over 3 Years Using the Random Intercept Cross-Lagged Panel Model. Front Psychol.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2020;11:571943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doi:10.3389/fpsyg.2020.571943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C2BE2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04DAE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4E540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FADD2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03BD2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7C1E5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A3D6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5B700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depression</w:t>
            </w:r>
          </w:p>
        </w:tc>
      </w:tr>
      <w:tr w:rsidR="008572F7" w:rsidRPr="00A04DAC" w14:paraId="74796085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D1D86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67457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Gau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JM, Stice E, Rohde P, Seeley JR. Negative life events and substance use moderate cognitive behavioral adolescent depression prevention intervention.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Cogn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Ther. 2012;41(3):241-250. doi:10.1080/16506073.2011.649781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2E1284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D3B05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E2002E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1CD60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4A95A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5C888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6EE80D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D214E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RCT and not cannabis</w:t>
            </w:r>
          </w:p>
        </w:tc>
      </w:tr>
      <w:tr w:rsidR="008572F7" w:rsidRPr="00A04DAC" w14:paraId="4F7BD9F4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78D6E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D9879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Green KM,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Zebrak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KA, Fothergill KE, Robertson JA, Ensminger ME. Childhood and adolescent risk factors for comorbid depression and substance use disorders in adulthood.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2012;37(11):1240-1247.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doi:10.1016/j.addbeh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.2012.06.008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3317F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2C8C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01D5FD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F2FEF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2C429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03742B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8C833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B93C86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longitudinal analysis</w:t>
            </w:r>
          </w:p>
        </w:tc>
      </w:tr>
      <w:tr w:rsidR="008572F7" w:rsidRPr="00A04DAC" w14:paraId="2AF0EE39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654A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1F60FB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5A4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nb-NO"/>
              </w:rPr>
              <w:t xml:space="preserve">Guttmannova K, Kosterman R, White HR, et al.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The association between regular marijuana use and adult mental health outcomes. Drug Alcohol Depend.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2017;179:109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-116.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.2017.06.016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7C512D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E702FD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E77F3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07C7A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8342B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A403C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32EA0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49C3F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depression</w:t>
            </w:r>
          </w:p>
        </w:tc>
      </w:tr>
      <w:tr w:rsidR="008572F7" w:rsidRPr="00A04DAC" w14:paraId="5418B256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EFB95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2A697D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McKowen JW, Tompson MC, Brown TA,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Asarnow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JR. Longitudinal associations between depression and problematic substance use in the Youth Partners in Care study. J Clin Child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Adolesc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Psychol. 2013;42(5):669-680. doi:10.1080/15374416.2012.759226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1B434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F1F66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85C86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C66A14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84572D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5454D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486E2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EB8015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not cannabis - depression and pts are receiving mental health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tx</w:t>
            </w:r>
            <w:proofErr w:type="spellEnd"/>
          </w:p>
        </w:tc>
      </w:tr>
      <w:tr w:rsidR="008572F7" w:rsidRPr="00A04DAC" w14:paraId="09A50C3C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7E628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5960A3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Poudel A, Gautam S. Age of onset of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substance use and psychosocial problems among individuals with substance use disorders. BMC Psychiatry. 2017;17(1):10. doi:10.1186/s12888-016-1191-0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811C20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C4D8AA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5CC986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FFBE0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29C9C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2E390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04E665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AB8ABD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032E5706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D304F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71F67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Schwinn TM, Schinke SP, Trent DN. Substance use among late adolescent urban youths: mental health and gender influences.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2010;35(1):30-34.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doi:10.1016/j.addbeh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.2009.08.005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08BCF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46677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DFBECF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BE841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DD4CD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D933E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A8614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A7F9F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5FF89892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CD3B4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66D75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Wymbs BT, McCarty CA, Mason WA, et al. Early adolescent substance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use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as a risk factor for developing conduct disorder and depression symptoms. J Stud Alcohol Drugs. 2014;75(2):279-289.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B5F6A2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</w:t>
            </w:r>
            <w:proofErr w:type="gramEnd"/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but only with alcohol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6788D0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9C6E8D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EDF226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1386A6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5754F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D63C6F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7D420B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doesn't look at cannabis alone</w:t>
            </w:r>
          </w:p>
        </w:tc>
      </w:tr>
      <w:tr w:rsidR="008572F7" w:rsidRPr="00A04DAC" w14:paraId="78888B16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F0215C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Degenhardt, 2013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0AF72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Botsford SL, Yang S, George TP. Cannabis and Cannabinoids in Mood and Anxiety Disorders: Impact on Illness Onset and Course, and Assessment of Therapeutic Potential. Am J Addict. 2020;29(1):9-26. doi:10.1111/ajad.12963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B81D9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53C08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0F093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E13FC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57683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E45DA0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CAF6E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D6F792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systematic review</w:t>
            </w:r>
          </w:p>
        </w:tc>
      </w:tr>
      <w:tr w:rsidR="008572F7" w:rsidRPr="00A04DAC" w14:paraId="45EB7461" w14:textId="77777777" w:rsidTr="00931D58">
        <w:trPr>
          <w:trHeight w:val="324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4CBFB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Degenhardt, 2013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06442C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Brook JS, Zhang C,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Rubenstone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E, Primack BA, Brook DW. Comorbid trajectories of substance use as predictors of Antisocial Personality Disorder, Major Depressive Episode, and Generalized Anxiety Disorder.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2016;62:114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-121.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doi:10.1016/j.addbeh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.2016.06.003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62779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but with other substances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93285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7F47D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F4638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9A996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FB746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ACB26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644513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report on cannabis alone</w:t>
            </w:r>
          </w:p>
        </w:tc>
      </w:tr>
      <w:tr w:rsidR="008572F7" w:rsidRPr="00A04DAC" w14:paraId="4C0BAED1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DC943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Degenhardt, 2013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2DE54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Hosseini S, Oremus M. The Effect of Age of Initiation of Cannabis Use on Psychosis, Depression, and Anxiety among Youth under 25 Years. Can J Psychiatry. 2019;64(5):304-312. doi:10.1177/0706743718809339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C2C28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AD325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571457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583BF6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A538B7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21A506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8ABEF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CD74E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systematic review</w:t>
            </w:r>
          </w:p>
        </w:tc>
      </w:tr>
      <w:tr w:rsidR="008572F7" w:rsidRPr="00A04DAC" w14:paraId="62F97015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3E786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Degenhardt, 2013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9D86D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Keith DR, Hart CL, McNeil MP, Silver R, Goodwin RD. Frequent marijuana use, binge drinking and mental health problems among undergraduates. Am J Addict. 2015;24(6):499-506. doi:10.1111/ajad.12201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49EEB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58E1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FD60D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C3553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A8830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4B7AD4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57EB7A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57A8F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3B6B7230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4DAE7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Degenhardt, 2013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D2C01F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5A4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nb-NO"/>
              </w:rPr>
              <w:t xml:space="preserve">Renard J, Krebs MO, Le Pen G, Jay TM.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Long-term consequences of adolescent cannabinoid exposure in adult psychopathology. Front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Neurosci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2014;8:361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doi:10.3389/fnins.2014.00361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C53898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BCF565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but with anxiety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C2EE7D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E82215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144E8F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A9D24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CF3B38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3AEB8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look at depression alone</w:t>
            </w:r>
          </w:p>
        </w:tc>
      </w:tr>
      <w:tr w:rsidR="008572F7" w:rsidRPr="00A04DAC" w14:paraId="7F782CBA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4087FD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Degenhardt, 2013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51D443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Rhew IC, Fleming CB, Vander Stoep A,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Nicodimos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S, Zheng C, McCauley E. Examination of cumulative effects of early adolescent depression on cannabis and alcohol use disorder in late adolescence in a community-based cohort. Addiction. 2017;112(11):1952-1960. doi:10.1111/add.13907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ECF5F3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842AB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67FD8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75394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122EC2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C95C3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EE3ACF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F6EF9F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looks at depression - cannabis</w:t>
            </w:r>
          </w:p>
        </w:tc>
      </w:tr>
      <w:tr w:rsidR="008572F7" w:rsidRPr="00A04DAC" w14:paraId="5D285B72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58DE0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Fergusson, 1997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C4A48C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 JS, Stimmel MA, Zhang C, Brook DW. The association between earlier marijuana use and subsequent academic achievement and health problems: a longitudinal study. Am J Addict. 2008;17(2):155-160. doi:10.1080/10550490701860930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D791E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06067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with other metal health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F31F29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3581D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1C4261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F7527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24A6C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20109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separate depression from other mental health</w:t>
            </w:r>
          </w:p>
        </w:tc>
      </w:tr>
      <w:tr w:rsidR="008572F7" w:rsidRPr="00A04DAC" w14:paraId="4EF939B0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491D4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Fergusson, 1997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F4DFB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Goldschmidt L, Richardson GA,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Larkby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C, Day NL. Early marijuana initiation: The link between prenatal marijuana exposure, early childhood behavior, and negative adult roles.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Neurotoxicol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Teratol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2016;58:40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-45.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doi:10.1016/j.ntt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.2016.05.011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03869A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prenatal exposure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F39AED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2F4538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35468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DF4C6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8327C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F9A73C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5996C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prenatal exposure to cannabis</w:t>
            </w:r>
          </w:p>
        </w:tc>
      </w:tr>
      <w:tr w:rsidR="008572F7" w:rsidRPr="00A04DAC" w14:paraId="760B1DE6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26EB2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Fergusson, 1997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19202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Meier MH, Hill ML, Small PJ, Luthar SS. Associations of adolescent cannabis use with academic performance and mental health: A longitudinal study of upper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middle class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youth. Drug Alcohol Depend.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2015;156:207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-212.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.2015.09.010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F4175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73153C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A66EE7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D69BB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921026B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66802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14F951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5165D6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"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internalizing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symptoms"</w:t>
            </w:r>
          </w:p>
        </w:tc>
      </w:tr>
      <w:tr w:rsidR="008572F7" w:rsidRPr="00A04DAC" w14:paraId="1CD6AECF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86F1C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Fergusson, 1997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AF5FE1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Smolkina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M, Morley KI, Rijsdijk F, et al. Cannabis and Depression: A Twin Model Approach to Co-morbidity.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Genet. 2017;47(4):394-404. doi:10.1007/s10519-017-9848-0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A2184E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F590B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BE097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7EB2B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99DF4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717A2B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0CA7DD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4A1A1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genetic study</w:t>
            </w:r>
          </w:p>
        </w:tc>
      </w:tr>
      <w:tr w:rsidR="008572F7" w:rsidRPr="00A04DAC" w14:paraId="4784E00B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2FCEA4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Georgiades, 2008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BB39C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Botsford SL, Yang S, George TP. Cannabis and Cannabinoids in Mood and Anxiety Disorders: Impact on Illness Onset and Course, and Assessment of Therapeutic Potential. Am J Addict. 2020;29(1):9-26. doi:10.1111/ajad.12963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47A443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9870F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0326BE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review article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6345C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78C59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441646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B5E44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C03C40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review article</w:t>
            </w:r>
          </w:p>
        </w:tc>
      </w:tr>
      <w:tr w:rsidR="008572F7" w:rsidRPr="00A04DAC" w14:paraId="5941D4E3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F93DE1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Georgiades, 2008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BCC96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Chadwick B, Miller ML, Hurd YL. Cannabis Use during Adolescent Development: Susceptibility to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Psychiatric Illness. Front Psychiatry.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2013;4:129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doi:10.3389/fpsyt.2013.00129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86C66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476964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6F8CA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74270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0B211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300996B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0A443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E88BA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a longitudinal study</w:t>
            </w:r>
          </w:p>
        </w:tc>
      </w:tr>
      <w:tr w:rsidR="008572F7" w:rsidRPr="00A04DAC" w14:paraId="4F0CB96F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90FF2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Georgiades, 2008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E994A3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Esmaeelzadeh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S,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Moraros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J, Thorpe L, Bird Y. The association between depression, anxiety and substance use among Canadian post-secondary students.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Neuropsychiatr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Dis Treat.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2018;14:3241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-3251. doi:10.2147/NDT.S187419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C1120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DD353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4E577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7D5E3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937D6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3EBF1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34E98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EFF81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762E8AB9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632AA9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C6754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Fischer AS, Tapert SF, Lee Louie D, Schatzberg AF, Singh MK. Cannabis and the Developing Adolescent Brain. Curr Treat Options Psychiatry. 2020;7(2):144-161. doi:10.1007/s40501-020-00202-2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88F427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F5EF9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7F4CF8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5C9D11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6867C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2613AB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15818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15E63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review article</w:t>
            </w:r>
          </w:p>
        </w:tc>
      </w:tr>
      <w:tr w:rsidR="008572F7" w:rsidRPr="00A04DAC" w14:paraId="095B1B62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28CCF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F0F70C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Gukasyan N, Strain EC. Relationship between cannabis use frequency and major depressive disorder in adolescents: Findings from the National Survey on Drug Use and Health 2012-2017. Drug Alcohol Depend.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2020;208:107867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.2020.107867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67841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443972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0BD9B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AB193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F247F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8C090E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8489A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A2607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2F084CD6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7363EF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71A64B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Hall W, Degenhardt L. Cannabis use and the risk of developing a psychotic disorder. World Psychiatry. 2008;7(2):68-71. doi:10.1002/j.2051-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5545.2008.tb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00158.x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95C7C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1DB8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249F07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review article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99BF56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2346EB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64638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14C5C0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72AA9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review article</w:t>
            </w:r>
          </w:p>
        </w:tc>
      </w:tr>
      <w:tr w:rsidR="008572F7" w:rsidRPr="00A04DAC" w14:paraId="20DB4559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C78749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41EF18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5A4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nb-NO"/>
              </w:rPr>
              <w:t xml:space="preserve">Schaefer JD, Hamdi NR, Malone SM, et al.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Associations between adolescent cannabis use and young-adult functioning in three longitudinal twin studies. Proc Natl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Acad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Sci U S A. 2021;118(14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):e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2013180118. doi:10.1073/pnas.2013180118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2245B9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7DAE61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3B983E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F0516D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49461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twins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312A4F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D50666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include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76991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8572F7" w:rsidRPr="00A04DAC" w14:paraId="5C39C778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0019D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EBEA8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Schuler MS, Vasilenko SA, Lanza ST. Age-varying associations between substance use behaviors and depressive symptoms during adolescence and young adulthood. Drug Alcohol Depend.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2015;157:75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-82.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.2015.10.005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920BD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FDC670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5688AE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A5650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20D43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794D2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923DA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53A05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1881E5E9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A63F7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DD1E7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Schwinn TM, Schinke SP, Trent DN. Substance use among late adolescent urban youths: mental health and gender influences. Addict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Behav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2010;35(1):30-34.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doi:10.1016/j.addbeh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.2009.08.005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E635C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A949B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7DBD1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CBB30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A02308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86CBDA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B5728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1F7BFB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31214FB3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5DD1B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445C6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Struble CA, Ellis JD, Cairncross M, Lister JJ, Lundahl LH. Demographic, Cannabis Use, and Depressive Correlates of Cannabis Use Consequences in Regular Cannabis Users. Am J Addict. 2019;28(4):295-302. doi:10.1111/ajad.12889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9A01A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3F72B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21802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93EE4CA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DBD3D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5A3991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85F497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A913EC0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not depression</w:t>
            </w:r>
          </w:p>
        </w:tc>
      </w:tr>
      <w:tr w:rsidR="008572F7" w:rsidRPr="00A04DAC" w14:paraId="1577B170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5FB5AE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DBE1D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Wilkinson AL, Halpern CT, Herring AH, et al. Testing Longitudinal Relationships Between Binge Drinking, Marijuana Use, and Depressive Symptoms and Moderation by Sex. J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Adolesc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Health. 2016;59(6):681-687.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doi:10.1016/j.jadohealth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.2016.07.010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746B6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but with alcohol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48DD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B6B3E8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C4AC777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D2F4D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071F4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473AA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A23FD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looked at cannabis and alcohol predicting depression</w:t>
            </w:r>
          </w:p>
        </w:tc>
      </w:tr>
      <w:tr w:rsidR="008572F7" w:rsidRPr="00A04DAC" w14:paraId="66239D77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DECE1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Patton, 2002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95D96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Womack SR, Shaw DS, Weaver CM, Forbes EE. Bidirectional Associations Between Cannabis Use and Depressive Symptoms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From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Adolescence Through Early Adulthood Among At-Risk Young Men. J Stud Alcohol Drugs. 2016;77(2):287-297. doi:10.15288/jsad.2016.77.287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C1CDA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FAA6C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DDF65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54048B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32578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low SES/WIC receiving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C5538C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bottom"/>
          </w:tcPr>
          <w:p w14:paraId="4C6FF67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E50358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limited population</w:t>
            </w:r>
          </w:p>
        </w:tc>
      </w:tr>
      <w:tr w:rsidR="008572F7" w:rsidRPr="00A04DAC" w14:paraId="3C79C6B7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F5CDB6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van Laar, 2007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5B1F2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Chiu ML, Cheng CF, Liang WM, Lin PT, Wu TN, Chen CY. The Temporal Relationship between Selected Mental Disorders and Substance-Related Disorders: A Nationwide Population-Based Cohort Study. Psychiatry J.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2018;2018:5697103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doi:10.1155/2018/5697103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C7998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5A836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6FBD5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BF91E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4D99A5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0C2E66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5CE8A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553FB5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depression before cannabis use</w:t>
            </w:r>
          </w:p>
        </w:tc>
      </w:tr>
      <w:tr w:rsidR="008572F7" w:rsidRPr="00A04DAC" w14:paraId="1DEA26B8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C92AA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van Laar, 2007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7630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Troup LJ, Andrzejewski JA,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Braunwalder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JT, Torrence RD. The relationship between cannabis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use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and measures of anxiety and depression in a sample of college campus cannabis users and non-users post state legalization in Colorado.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PeerJ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2016;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4:e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2782. doi:10.7717/peerj.2782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21CF5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1CE70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D87D0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41E5F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20F05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B0A30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6C102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2B4674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0AF807D5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ADC2F3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van Laar, 2007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C0C510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Wright NE,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Scerpella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D,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Lisdahl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KM. Marijuana Use Is Associated with Behavioral Approach and Depressive Symptoms in Adolescents and Emerging Adults.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PLoS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One. 2016;11(11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):e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0166005.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doi:10.1371/journal.pone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.0166005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8D8A0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F429F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8FBE92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2DB03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ACD8599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8AF5BB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01D4C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4CF24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cross-sectional</w:t>
            </w:r>
          </w:p>
        </w:tc>
      </w:tr>
      <w:tr w:rsidR="008572F7" w:rsidRPr="00A04DAC" w14:paraId="2F282B74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8512F06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Brook, 2011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85DF4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Brook JS, Zhang C,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Leukefeld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CG, Brook DW. Marijuana use from adolescence to adulthood: developmental trajectories and their outcomes. Soc Psychiatry </w:t>
            </w:r>
            <w:proofErr w:type="spell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Psychiatr</w:t>
            </w:r>
            <w:proofErr w:type="spell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Epidemiol. 2016;51(10):1405-1415. doi:10.1007/s00127-016-1229-0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3D4A34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88C2D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A8A3F3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A6914C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D20D95E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03FACF0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5DA3919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FCD399D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look at depression alone</w:t>
            </w:r>
          </w:p>
        </w:tc>
      </w:tr>
      <w:tr w:rsidR="008572F7" w:rsidRPr="00A04DAC" w14:paraId="620AC14E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317DEE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2011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5CE1A2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Caldeira KM, O’Grady KE, Vincent KB, Arria AM. Marijuana use trajectories during the post-college transition: health outcomes in young adulthood. Drug Alcohol Depend. 2012;125(3):267-275. </w:t>
            </w:r>
            <w:proofErr w:type="gramStart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doi:10.1016/j.drugalcdep</w:t>
            </w:r>
            <w:proofErr w:type="gramEnd"/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.2012.02.022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ECD4D43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519E50B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yes - but only provides BDI score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74D1CE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5A19A82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B162C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 - college students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27B912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F3D1A4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BE3BDA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provide OR information for depression, just average scores</w:t>
            </w:r>
          </w:p>
        </w:tc>
      </w:tr>
      <w:tr w:rsidR="008572F7" w:rsidRPr="00A04DAC" w14:paraId="7A3CE7DC" w14:textId="77777777" w:rsidTr="00931D58">
        <w:trPr>
          <w:trHeight w:val="288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1A6C67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Brook, 2011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19C4F7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Green KM, Doherty EE, Ensminger ME. Long-term consequences of adolescent cannabis use: Examining intermediary processes. Am J Drug Alcohol Abuse. 2017;43(5):567-575. doi:10.1080/00952990.2016.1258706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5A5EE81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BB9C3C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no - anxiety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658DAD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BF9048F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30AC3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54B20F4" w14:textId="77777777" w:rsidR="008572F7" w:rsidRPr="00D813AB" w:rsidRDefault="008572F7" w:rsidP="00931D5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E3C1738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exclude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2538C5F" w14:textId="77777777" w:rsidR="008572F7" w:rsidRPr="00D813A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813A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does not look at depression</w:t>
            </w:r>
          </w:p>
        </w:tc>
      </w:tr>
    </w:tbl>
    <w:p w14:paraId="0D97CA7A" w14:textId="77777777" w:rsidR="008572F7" w:rsidRPr="00A04DAC" w:rsidRDefault="008572F7" w:rsidP="008572F7">
      <w:pPr>
        <w:rPr>
          <w:rFonts w:ascii="Times New Roman" w:hAnsi="Times New Roman"/>
        </w:rPr>
        <w:sectPr w:rsidR="008572F7" w:rsidRPr="00A04DAC" w:rsidSect="008572F7">
          <w:footerReference w:type="default" r:id="rId5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33F5EFF" w14:textId="08E256FD" w:rsidR="008572F7" w:rsidRPr="000D58ED" w:rsidRDefault="008572F7" w:rsidP="008572F7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hAnsi="Times New Roman"/>
        </w:rPr>
      </w:pPr>
      <w:bookmarkStart w:id="2" w:name="_Toc105078150"/>
      <w:r>
        <w:rPr>
          <w:rFonts w:ascii="Times New Roman" w:hAnsi="Times New Roman"/>
        </w:rPr>
        <w:lastRenderedPageBreak/>
        <w:t xml:space="preserve">Supplement </w:t>
      </w:r>
      <w:r>
        <w:rPr>
          <w:rFonts w:ascii="Times New Roman" w:hAnsi="Times New Roman"/>
        </w:rPr>
        <w:t>III</w:t>
      </w:r>
      <w:r w:rsidRPr="000D58ED">
        <w:rPr>
          <w:rFonts w:ascii="Times New Roman" w:hAnsi="Times New Roman"/>
        </w:rPr>
        <w:t xml:space="preserve">: Coding sheet with </w:t>
      </w:r>
      <w:proofErr w:type="gramStart"/>
      <w:r w:rsidRPr="000D58ED">
        <w:rPr>
          <w:rFonts w:ascii="Times New Roman" w:hAnsi="Times New Roman"/>
        </w:rPr>
        <w:t>example</w:t>
      </w:r>
      <w:bookmarkEnd w:id="2"/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"/>
        <w:gridCol w:w="3618"/>
        <w:gridCol w:w="5305"/>
      </w:tblGrid>
      <w:tr w:rsidR="008572F7" w:rsidRPr="000D58ED" w14:paraId="4B9A73D4" w14:textId="77777777" w:rsidTr="00931D58">
        <w:tc>
          <w:tcPr>
            <w:tcW w:w="4045" w:type="dxa"/>
            <w:gridSpan w:val="2"/>
          </w:tcPr>
          <w:p w14:paraId="012C2AB7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Article ID</w:t>
            </w:r>
          </w:p>
        </w:tc>
        <w:tc>
          <w:tcPr>
            <w:tcW w:w="5305" w:type="dxa"/>
          </w:tcPr>
          <w:p w14:paraId="166F6C4D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072C8"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24BAE1F1" w14:textId="77777777" w:rsidTr="00931D58">
        <w:tc>
          <w:tcPr>
            <w:tcW w:w="4045" w:type="dxa"/>
            <w:gridSpan w:val="2"/>
          </w:tcPr>
          <w:p w14:paraId="7F5A77A6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Effect ID</w:t>
            </w:r>
          </w:p>
        </w:tc>
        <w:tc>
          <w:tcPr>
            <w:tcW w:w="5305" w:type="dxa"/>
          </w:tcPr>
          <w:p w14:paraId="4CAD058D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072C8"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317B331F" w14:textId="77777777" w:rsidTr="00931D58">
        <w:tc>
          <w:tcPr>
            <w:tcW w:w="4045" w:type="dxa"/>
            <w:gridSpan w:val="2"/>
          </w:tcPr>
          <w:p w14:paraId="307AADB9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Article</w:t>
            </w:r>
          </w:p>
        </w:tc>
        <w:tc>
          <w:tcPr>
            <w:tcW w:w="5305" w:type="dxa"/>
          </w:tcPr>
          <w:p w14:paraId="6D675D82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072C8">
              <w:rPr>
                <w:rFonts w:ascii="Times New Roman" w:eastAsia="Times New Roman" w:hAnsi="Times New Roman"/>
                <w:szCs w:val="26"/>
              </w:rPr>
              <w:t>Arseneault, 2002</w:t>
            </w:r>
          </w:p>
        </w:tc>
      </w:tr>
      <w:tr w:rsidR="008572F7" w:rsidRPr="000D58ED" w14:paraId="2FD922E9" w14:textId="77777777" w:rsidTr="00931D58">
        <w:tc>
          <w:tcPr>
            <w:tcW w:w="4045" w:type="dxa"/>
            <w:gridSpan w:val="2"/>
          </w:tcPr>
          <w:p w14:paraId="5E64FF81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Citation</w:t>
            </w:r>
          </w:p>
        </w:tc>
        <w:tc>
          <w:tcPr>
            <w:tcW w:w="5305" w:type="dxa"/>
          </w:tcPr>
          <w:p w14:paraId="63AAF07F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072C8">
              <w:rPr>
                <w:rFonts w:ascii="Times New Roman" w:eastAsia="Times New Roman" w:hAnsi="Times New Roman"/>
                <w:szCs w:val="26"/>
              </w:rPr>
              <w:t>Arseneault L. Cannabis use in adolescence and risk for adult psychosis: longitudinal prospective study. BMJ. 2002;325(7374):1212-1213. doi:10.1136/bmj.325.7374.1212</w:t>
            </w:r>
          </w:p>
        </w:tc>
      </w:tr>
      <w:tr w:rsidR="008572F7" w:rsidRPr="000D58ED" w14:paraId="4DE2B34F" w14:textId="77777777" w:rsidTr="00931D58">
        <w:tc>
          <w:tcPr>
            <w:tcW w:w="4045" w:type="dxa"/>
            <w:gridSpan w:val="2"/>
          </w:tcPr>
          <w:p w14:paraId="381D1844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Study years (enrollment – final follow up)</w:t>
            </w:r>
          </w:p>
        </w:tc>
        <w:tc>
          <w:tcPr>
            <w:tcW w:w="5305" w:type="dxa"/>
          </w:tcPr>
          <w:p w14:paraId="4F38B774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1972-1999</w:t>
            </w:r>
          </w:p>
        </w:tc>
      </w:tr>
      <w:tr w:rsidR="008572F7" w:rsidRPr="000D58ED" w14:paraId="6DD48C91" w14:textId="77777777" w:rsidTr="00931D58">
        <w:tc>
          <w:tcPr>
            <w:tcW w:w="4045" w:type="dxa"/>
            <w:gridSpan w:val="2"/>
          </w:tcPr>
          <w:p w14:paraId="0D05B332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Setting</w:t>
            </w:r>
          </w:p>
        </w:tc>
        <w:tc>
          <w:tcPr>
            <w:tcW w:w="5305" w:type="dxa"/>
          </w:tcPr>
          <w:p w14:paraId="2EB8424F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2E272D">
              <w:rPr>
                <w:rFonts w:ascii="Times New Roman" w:eastAsia="Times New Roman" w:hAnsi="Times New Roman"/>
                <w:szCs w:val="26"/>
              </w:rPr>
              <w:t>a general population birth cohort in Dunedin, New Zealand</w:t>
            </w:r>
          </w:p>
        </w:tc>
      </w:tr>
      <w:tr w:rsidR="008572F7" w:rsidRPr="000D58ED" w14:paraId="0116CEEF" w14:textId="77777777" w:rsidTr="00931D58">
        <w:tc>
          <w:tcPr>
            <w:tcW w:w="4045" w:type="dxa"/>
            <w:gridSpan w:val="2"/>
          </w:tcPr>
          <w:p w14:paraId="0E21758A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Country Code</w:t>
            </w:r>
          </w:p>
        </w:tc>
        <w:tc>
          <w:tcPr>
            <w:tcW w:w="5305" w:type="dxa"/>
          </w:tcPr>
          <w:p w14:paraId="34A6E11C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2</w:t>
            </w:r>
          </w:p>
        </w:tc>
      </w:tr>
      <w:tr w:rsidR="008572F7" w:rsidRPr="000D58ED" w14:paraId="2608E183" w14:textId="77777777" w:rsidTr="00931D58">
        <w:tc>
          <w:tcPr>
            <w:tcW w:w="427" w:type="dxa"/>
          </w:tcPr>
          <w:p w14:paraId="630D5F8B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13174499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US</w:t>
            </w:r>
          </w:p>
        </w:tc>
        <w:tc>
          <w:tcPr>
            <w:tcW w:w="5305" w:type="dxa"/>
          </w:tcPr>
          <w:p w14:paraId="7EAF4C23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6319EE3A" w14:textId="77777777" w:rsidTr="00931D58">
        <w:tc>
          <w:tcPr>
            <w:tcW w:w="427" w:type="dxa"/>
          </w:tcPr>
          <w:p w14:paraId="3DC02FBD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10F434A3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Non-US</w:t>
            </w:r>
          </w:p>
        </w:tc>
        <w:tc>
          <w:tcPr>
            <w:tcW w:w="5305" w:type="dxa"/>
          </w:tcPr>
          <w:p w14:paraId="039415EE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0E0A2518" w14:textId="77777777" w:rsidTr="00931D58">
        <w:tc>
          <w:tcPr>
            <w:tcW w:w="427" w:type="dxa"/>
          </w:tcPr>
          <w:p w14:paraId="74D50BB2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2C2EA9B2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Worldwide</w:t>
            </w:r>
          </w:p>
        </w:tc>
        <w:tc>
          <w:tcPr>
            <w:tcW w:w="5305" w:type="dxa"/>
          </w:tcPr>
          <w:p w14:paraId="1530D939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135833FB" w14:textId="77777777" w:rsidTr="00931D58">
        <w:tc>
          <w:tcPr>
            <w:tcW w:w="4045" w:type="dxa"/>
            <w:gridSpan w:val="2"/>
          </w:tcPr>
          <w:p w14:paraId="363DC4D7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State Code</w:t>
            </w:r>
          </w:p>
        </w:tc>
        <w:tc>
          <w:tcPr>
            <w:tcW w:w="5305" w:type="dxa"/>
          </w:tcPr>
          <w:p w14:paraId="7AB52BA4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0</w:t>
            </w:r>
          </w:p>
        </w:tc>
      </w:tr>
      <w:tr w:rsidR="008572F7" w:rsidRPr="000D58ED" w14:paraId="521E0216" w14:textId="77777777" w:rsidTr="00931D58">
        <w:tc>
          <w:tcPr>
            <w:tcW w:w="427" w:type="dxa"/>
          </w:tcPr>
          <w:p w14:paraId="39CEF256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53339207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National or more than 1 state</w:t>
            </w:r>
          </w:p>
        </w:tc>
        <w:tc>
          <w:tcPr>
            <w:tcW w:w="5305" w:type="dxa"/>
          </w:tcPr>
          <w:p w14:paraId="7C75E6A3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3C17DF8" w14:textId="77777777" w:rsidTr="00931D58">
        <w:tc>
          <w:tcPr>
            <w:tcW w:w="427" w:type="dxa"/>
          </w:tcPr>
          <w:p w14:paraId="6442DE08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0</w:t>
            </w:r>
          </w:p>
        </w:tc>
        <w:tc>
          <w:tcPr>
            <w:tcW w:w="3618" w:type="dxa"/>
          </w:tcPr>
          <w:p w14:paraId="744CC327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Non-US</w:t>
            </w:r>
          </w:p>
        </w:tc>
        <w:tc>
          <w:tcPr>
            <w:tcW w:w="5305" w:type="dxa"/>
          </w:tcPr>
          <w:p w14:paraId="3FE79EBD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4B3B408B" w14:textId="77777777" w:rsidTr="00931D58">
        <w:tc>
          <w:tcPr>
            <w:tcW w:w="4045" w:type="dxa"/>
            <w:gridSpan w:val="2"/>
          </w:tcPr>
          <w:p w14:paraId="210A6D9C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Ages of Participants</w:t>
            </w:r>
          </w:p>
        </w:tc>
        <w:tc>
          <w:tcPr>
            <w:tcW w:w="5305" w:type="dxa"/>
          </w:tcPr>
          <w:p w14:paraId="281BBD55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2</w:t>
            </w:r>
          </w:p>
        </w:tc>
      </w:tr>
      <w:tr w:rsidR="008572F7" w:rsidRPr="000D58ED" w14:paraId="3E3F9CFA" w14:textId="77777777" w:rsidTr="00931D58">
        <w:tc>
          <w:tcPr>
            <w:tcW w:w="427" w:type="dxa"/>
          </w:tcPr>
          <w:p w14:paraId="3B27E618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04B2F925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Adults only</w:t>
            </w:r>
          </w:p>
        </w:tc>
        <w:tc>
          <w:tcPr>
            <w:tcW w:w="5305" w:type="dxa"/>
          </w:tcPr>
          <w:p w14:paraId="610CAC6C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706F6EC" w14:textId="77777777" w:rsidTr="00931D58">
        <w:tc>
          <w:tcPr>
            <w:tcW w:w="427" w:type="dxa"/>
          </w:tcPr>
          <w:p w14:paraId="2975F252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2CDE02EA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Under 18 only (at baseline)</w:t>
            </w:r>
          </w:p>
        </w:tc>
        <w:tc>
          <w:tcPr>
            <w:tcW w:w="5305" w:type="dxa"/>
          </w:tcPr>
          <w:p w14:paraId="5C229DA7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18A2D6E3" w14:textId="77777777" w:rsidTr="00931D58">
        <w:tc>
          <w:tcPr>
            <w:tcW w:w="427" w:type="dxa"/>
          </w:tcPr>
          <w:p w14:paraId="213B7AC0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01E0E861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Mixed</w:t>
            </w:r>
          </w:p>
        </w:tc>
        <w:tc>
          <w:tcPr>
            <w:tcW w:w="5305" w:type="dxa"/>
          </w:tcPr>
          <w:p w14:paraId="2C3F6F70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48142B3E" w14:textId="77777777" w:rsidTr="00931D58">
        <w:tc>
          <w:tcPr>
            <w:tcW w:w="427" w:type="dxa"/>
          </w:tcPr>
          <w:p w14:paraId="3A1A799D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4</w:t>
            </w:r>
          </w:p>
        </w:tc>
        <w:tc>
          <w:tcPr>
            <w:tcW w:w="3618" w:type="dxa"/>
          </w:tcPr>
          <w:p w14:paraId="24B849E3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Unclear</w:t>
            </w:r>
          </w:p>
        </w:tc>
        <w:tc>
          <w:tcPr>
            <w:tcW w:w="5305" w:type="dxa"/>
          </w:tcPr>
          <w:p w14:paraId="4CF758BD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96A245A" w14:textId="77777777" w:rsidTr="00931D58">
        <w:tc>
          <w:tcPr>
            <w:tcW w:w="4045" w:type="dxa"/>
            <w:gridSpan w:val="2"/>
          </w:tcPr>
          <w:p w14:paraId="48CBC888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Depression Definition</w:t>
            </w:r>
          </w:p>
        </w:tc>
        <w:tc>
          <w:tcPr>
            <w:tcW w:w="5305" w:type="dxa"/>
          </w:tcPr>
          <w:p w14:paraId="4CD8EF88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1E5D76FD" w14:textId="77777777" w:rsidTr="00931D58">
        <w:tc>
          <w:tcPr>
            <w:tcW w:w="427" w:type="dxa"/>
          </w:tcPr>
          <w:p w14:paraId="38015269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25C34516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Major Depressive Disorder (MDD)</w:t>
            </w:r>
          </w:p>
        </w:tc>
        <w:tc>
          <w:tcPr>
            <w:tcW w:w="5305" w:type="dxa"/>
          </w:tcPr>
          <w:p w14:paraId="4F3E26A5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2DB6C769" w14:textId="77777777" w:rsidTr="00931D58">
        <w:tc>
          <w:tcPr>
            <w:tcW w:w="427" w:type="dxa"/>
          </w:tcPr>
          <w:p w14:paraId="02AA82BC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626609F6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Major Depressive Episode (MDE)</w:t>
            </w:r>
          </w:p>
        </w:tc>
        <w:tc>
          <w:tcPr>
            <w:tcW w:w="5305" w:type="dxa"/>
          </w:tcPr>
          <w:p w14:paraId="7F990DE3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6CAEA28C" w14:textId="77777777" w:rsidTr="00931D58">
        <w:tc>
          <w:tcPr>
            <w:tcW w:w="427" w:type="dxa"/>
          </w:tcPr>
          <w:p w14:paraId="580CCA0E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7DB05CCA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Depressive symptoms</w:t>
            </w:r>
          </w:p>
        </w:tc>
        <w:tc>
          <w:tcPr>
            <w:tcW w:w="5305" w:type="dxa"/>
          </w:tcPr>
          <w:p w14:paraId="71E4AC30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25E35C13" w14:textId="77777777" w:rsidTr="00931D58">
        <w:tc>
          <w:tcPr>
            <w:tcW w:w="427" w:type="dxa"/>
          </w:tcPr>
          <w:p w14:paraId="029ED178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4</w:t>
            </w:r>
          </w:p>
        </w:tc>
        <w:tc>
          <w:tcPr>
            <w:tcW w:w="3618" w:type="dxa"/>
          </w:tcPr>
          <w:p w14:paraId="21D69EC5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Depressive disorder, other</w:t>
            </w:r>
          </w:p>
        </w:tc>
        <w:tc>
          <w:tcPr>
            <w:tcW w:w="5305" w:type="dxa"/>
          </w:tcPr>
          <w:p w14:paraId="4195AB8F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07BE31DA" w14:textId="77777777" w:rsidTr="00931D58">
        <w:tc>
          <w:tcPr>
            <w:tcW w:w="427" w:type="dxa"/>
          </w:tcPr>
          <w:p w14:paraId="1E50178D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5</w:t>
            </w:r>
          </w:p>
        </w:tc>
        <w:tc>
          <w:tcPr>
            <w:tcW w:w="3618" w:type="dxa"/>
          </w:tcPr>
          <w:p w14:paraId="01A43D1D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Depression, not otherwise specified</w:t>
            </w:r>
          </w:p>
        </w:tc>
        <w:tc>
          <w:tcPr>
            <w:tcW w:w="5305" w:type="dxa"/>
          </w:tcPr>
          <w:p w14:paraId="14C9408E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12C6D831" w14:textId="77777777" w:rsidTr="00931D58">
        <w:tc>
          <w:tcPr>
            <w:tcW w:w="4045" w:type="dxa"/>
            <w:gridSpan w:val="2"/>
          </w:tcPr>
          <w:p w14:paraId="268B21E5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lastRenderedPageBreak/>
              <w:t>Depression measure (open text)</w:t>
            </w:r>
          </w:p>
        </w:tc>
        <w:tc>
          <w:tcPr>
            <w:tcW w:w="5305" w:type="dxa"/>
          </w:tcPr>
          <w:p w14:paraId="42A01809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DSM-IV</w:t>
            </w:r>
          </w:p>
        </w:tc>
      </w:tr>
      <w:tr w:rsidR="008572F7" w:rsidRPr="000D58ED" w14:paraId="6A2FCCF7" w14:textId="77777777" w:rsidTr="00931D58">
        <w:tc>
          <w:tcPr>
            <w:tcW w:w="4045" w:type="dxa"/>
            <w:gridSpan w:val="2"/>
          </w:tcPr>
          <w:p w14:paraId="71609389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Depression measure (code)</w:t>
            </w:r>
          </w:p>
        </w:tc>
        <w:tc>
          <w:tcPr>
            <w:tcW w:w="5305" w:type="dxa"/>
          </w:tcPr>
          <w:p w14:paraId="2108D067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4C044311" w14:textId="77777777" w:rsidTr="00931D58">
        <w:tc>
          <w:tcPr>
            <w:tcW w:w="427" w:type="dxa"/>
          </w:tcPr>
          <w:p w14:paraId="46D71FDC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45EE05A0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DSM and its derivatives</w:t>
            </w:r>
          </w:p>
        </w:tc>
        <w:tc>
          <w:tcPr>
            <w:tcW w:w="5305" w:type="dxa"/>
          </w:tcPr>
          <w:p w14:paraId="575AA8A2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7FE0E016" w14:textId="77777777" w:rsidTr="00931D58">
        <w:tc>
          <w:tcPr>
            <w:tcW w:w="427" w:type="dxa"/>
          </w:tcPr>
          <w:p w14:paraId="5A8DB273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0903C65D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Symptom Checklist 90-R</w:t>
            </w:r>
          </w:p>
        </w:tc>
        <w:tc>
          <w:tcPr>
            <w:tcW w:w="5305" w:type="dxa"/>
          </w:tcPr>
          <w:p w14:paraId="70DD966E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44D8468A" w14:textId="77777777" w:rsidTr="00931D58">
        <w:tc>
          <w:tcPr>
            <w:tcW w:w="427" w:type="dxa"/>
          </w:tcPr>
          <w:p w14:paraId="71019C02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65CAE7D8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 xml:space="preserve">Clinical </w:t>
            </w:r>
            <w:proofErr w:type="spellStart"/>
            <w:r w:rsidRPr="000D58ED">
              <w:rPr>
                <w:rFonts w:ascii="Times New Roman" w:eastAsia="Times New Roman" w:hAnsi="Times New Roman"/>
                <w:szCs w:val="26"/>
              </w:rPr>
              <w:t>Interiew</w:t>
            </w:r>
            <w:proofErr w:type="spellEnd"/>
            <w:r w:rsidRPr="000D58ED">
              <w:rPr>
                <w:rFonts w:ascii="Times New Roman" w:eastAsia="Times New Roman" w:hAnsi="Times New Roman"/>
                <w:szCs w:val="26"/>
              </w:rPr>
              <w:t xml:space="preserve"> Schedule (CIS-R)</w:t>
            </w:r>
          </w:p>
        </w:tc>
        <w:tc>
          <w:tcPr>
            <w:tcW w:w="5305" w:type="dxa"/>
          </w:tcPr>
          <w:p w14:paraId="342D31B2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2C77D72E" w14:textId="77777777" w:rsidTr="00931D58">
        <w:tc>
          <w:tcPr>
            <w:tcW w:w="427" w:type="dxa"/>
          </w:tcPr>
          <w:p w14:paraId="381703E9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4</w:t>
            </w:r>
          </w:p>
        </w:tc>
        <w:tc>
          <w:tcPr>
            <w:tcW w:w="3618" w:type="dxa"/>
          </w:tcPr>
          <w:p w14:paraId="65FDCB13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CES-D</w:t>
            </w:r>
          </w:p>
        </w:tc>
        <w:tc>
          <w:tcPr>
            <w:tcW w:w="5305" w:type="dxa"/>
          </w:tcPr>
          <w:p w14:paraId="5464720A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709DD587" w14:textId="77777777" w:rsidTr="00931D58">
        <w:tc>
          <w:tcPr>
            <w:tcW w:w="427" w:type="dxa"/>
          </w:tcPr>
          <w:p w14:paraId="0C86C89F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5</w:t>
            </w:r>
          </w:p>
        </w:tc>
        <w:tc>
          <w:tcPr>
            <w:tcW w:w="3618" w:type="dxa"/>
          </w:tcPr>
          <w:p w14:paraId="29CB2520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Clinical diagnosis</w:t>
            </w:r>
          </w:p>
        </w:tc>
        <w:tc>
          <w:tcPr>
            <w:tcW w:w="5305" w:type="dxa"/>
          </w:tcPr>
          <w:p w14:paraId="715BFA4A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0AADCA85" w14:textId="77777777" w:rsidTr="00931D58">
        <w:tc>
          <w:tcPr>
            <w:tcW w:w="427" w:type="dxa"/>
          </w:tcPr>
          <w:p w14:paraId="72158491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6</w:t>
            </w:r>
          </w:p>
        </w:tc>
        <w:tc>
          <w:tcPr>
            <w:tcW w:w="3618" w:type="dxa"/>
          </w:tcPr>
          <w:p w14:paraId="3E8B9780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Symptom Distress Checklist (SCL)</w:t>
            </w:r>
          </w:p>
        </w:tc>
        <w:tc>
          <w:tcPr>
            <w:tcW w:w="5305" w:type="dxa"/>
          </w:tcPr>
          <w:p w14:paraId="0C3FE7D7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38EFEEF" w14:textId="77777777" w:rsidTr="00931D58">
        <w:tc>
          <w:tcPr>
            <w:tcW w:w="427" w:type="dxa"/>
          </w:tcPr>
          <w:p w14:paraId="483F189F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7</w:t>
            </w:r>
          </w:p>
        </w:tc>
        <w:tc>
          <w:tcPr>
            <w:tcW w:w="3618" w:type="dxa"/>
          </w:tcPr>
          <w:p w14:paraId="37A07077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Brief Symptom Inventory (BSI)</w:t>
            </w:r>
          </w:p>
        </w:tc>
        <w:tc>
          <w:tcPr>
            <w:tcW w:w="5305" w:type="dxa"/>
          </w:tcPr>
          <w:p w14:paraId="210763DE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24CCEAAF" w14:textId="77777777" w:rsidTr="00931D58">
        <w:tc>
          <w:tcPr>
            <w:tcW w:w="427" w:type="dxa"/>
          </w:tcPr>
          <w:p w14:paraId="0FD6F503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8</w:t>
            </w:r>
          </w:p>
        </w:tc>
        <w:tc>
          <w:tcPr>
            <w:tcW w:w="3618" w:type="dxa"/>
          </w:tcPr>
          <w:p w14:paraId="448233EE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Composite International Diagnostic Interview (CIDI)</w:t>
            </w:r>
          </w:p>
        </w:tc>
        <w:tc>
          <w:tcPr>
            <w:tcW w:w="5305" w:type="dxa"/>
          </w:tcPr>
          <w:p w14:paraId="520F0202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0B638EE5" w14:textId="77777777" w:rsidTr="00931D58">
        <w:tc>
          <w:tcPr>
            <w:tcW w:w="427" w:type="dxa"/>
          </w:tcPr>
          <w:p w14:paraId="6453FAE3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9</w:t>
            </w:r>
          </w:p>
        </w:tc>
        <w:tc>
          <w:tcPr>
            <w:tcW w:w="3618" w:type="dxa"/>
          </w:tcPr>
          <w:p w14:paraId="04CCC2F7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0D58ED">
              <w:rPr>
                <w:rFonts w:ascii="Times New Roman" w:eastAsia="Times New Roman" w:hAnsi="Times New Roman"/>
                <w:szCs w:val="26"/>
              </w:rPr>
              <w:t>Other (specify)</w:t>
            </w:r>
          </w:p>
        </w:tc>
        <w:tc>
          <w:tcPr>
            <w:tcW w:w="5305" w:type="dxa"/>
          </w:tcPr>
          <w:p w14:paraId="3E6031CE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2ECF88EC" w14:textId="77777777" w:rsidTr="00931D58">
        <w:tc>
          <w:tcPr>
            <w:tcW w:w="4045" w:type="dxa"/>
            <w:gridSpan w:val="2"/>
          </w:tcPr>
          <w:p w14:paraId="056D9F9E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0D58ED">
              <w:rPr>
                <w:rFonts w:ascii="Times New Roman" w:eastAsia="Times New Roman" w:hAnsi="Times New Roman"/>
                <w:b/>
                <w:bCs/>
                <w:szCs w:val="26"/>
              </w:rPr>
              <w:t>Method of Depression Assessment</w:t>
            </w:r>
          </w:p>
        </w:tc>
        <w:tc>
          <w:tcPr>
            <w:tcW w:w="5305" w:type="dxa"/>
          </w:tcPr>
          <w:p w14:paraId="59911B42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1B657D03" w14:textId="77777777" w:rsidTr="00931D58">
        <w:tc>
          <w:tcPr>
            <w:tcW w:w="427" w:type="dxa"/>
          </w:tcPr>
          <w:p w14:paraId="6AC48652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1061E7A9" w14:textId="77777777" w:rsidR="008572F7" w:rsidRPr="000D58ED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Self-report</w:t>
            </w:r>
          </w:p>
        </w:tc>
        <w:tc>
          <w:tcPr>
            <w:tcW w:w="5305" w:type="dxa"/>
          </w:tcPr>
          <w:p w14:paraId="1700F937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1693414A" w14:textId="77777777" w:rsidTr="00931D58">
        <w:tc>
          <w:tcPr>
            <w:tcW w:w="427" w:type="dxa"/>
          </w:tcPr>
          <w:p w14:paraId="1F79A140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182BE0D4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Interview</w:t>
            </w:r>
          </w:p>
        </w:tc>
        <w:tc>
          <w:tcPr>
            <w:tcW w:w="5305" w:type="dxa"/>
          </w:tcPr>
          <w:p w14:paraId="665CF0EA" w14:textId="77777777" w:rsidR="008572F7" w:rsidRPr="00A072C8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262A1D28" w14:textId="77777777" w:rsidTr="00931D58">
        <w:tc>
          <w:tcPr>
            <w:tcW w:w="427" w:type="dxa"/>
          </w:tcPr>
          <w:p w14:paraId="2A3C6629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6A280829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Unclear</w:t>
            </w:r>
          </w:p>
        </w:tc>
        <w:tc>
          <w:tcPr>
            <w:tcW w:w="5305" w:type="dxa"/>
          </w:tcPr>
          <w:p w14:paraId="1CCE01DC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072C8">
              <w:rPr>
                <w:rFonts w:ascii="Times New Roman" w:eastAsia="Times New Roman" w:hAnsi="Times New Roman"/>
                <w:szCs w:val="26"/>
              </w:rPr>
              <w:tab/>
            </w:r>
          </w:p>
        </w:tc>
      </w:tr>
      <w:tr w:rsidR="008572F7" w:rsidRPr="000D58ED" w14:paraId="3133DDC3" w14:textId="77777777" w:rsidTr="00931D58">
        <w:tc>
          <w:tcPr>
            <w:tcW w:w="4045" w:type="dxa"/>
            <w:gridSpan w:val="2"/>
          </w:tcPr>
          <w:p w14:paraId="38AD3EE7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8C27DB">
              <w:rPr>
                <w:rFonts w:ascii="Times New Roman" w:eastAsia="Times New Roman" w:hAnsi="Times New Roman"/>
                <w:b/>
                <w:bCs/>
                <w:szCs w:val="26"/>
              </w:rPr>
              <w:t>Cannabis Measure Code</w:t>
            </w:r>
          </w:p>
        </w:tc>
        <w:tc>
          <w:tcPr>
            <w:tcW w:w="5305" w:type="dxa"/>
          </w:tcPr>
          <w:p w14:paraId="695306AC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3</w:t>
            </w:r>
          </w:p>
        </w:tc>
      </w:tr>
      <w:tr w:rsidR="008572F7" w:rsidRPr="000D58ED" w14:paraId="34F0737A" w14:textId="77777777" w:rsidTr="00931D58">
        <w:tc>
          <w:tcPr>
            <w:tcW w:w="427" w:type="dxa"/>
          </w:tcPr>
          <w:p w14:paraId="2DCF3D2F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026B0886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DSM</w:t>
            </w:r>
          </w:p>
        </w:tc>
        <w:tc>
          <w:tcPr>
            <w:tcW w:w="5305" w:type="dxa"/>
          </w:tcPr>
          <w:p w14:paraId="5F32A4FD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6CD5A74C" w14:textId="77777777" w:rsidTr="00931D58">
        <w:tc>
          <w:tcPr>
            <w:tcW w:w="427" w:type="dxa"/>
          </w:tcPr>
          <w:p w14:paraId="078AD994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74C9B677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Frequency (not a validated measure)</w:t>
            </w:r>
          </w:p>
        </w:tc>
        <w:tc>
          <w:tcPr>
            <w:tcW w:w="5305" w:type="dxa"/>
          </w:tcPr>
          <w:p w14:paraId="7969D9CE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77400639" w14:textId="77777777" w:rsidTr="00931D58">
        <w:tc>
          <w:tcPr>
            <w:tcW w:w="427" w:type="dxa"/>
          </w:tcPr>
          <w:p w14:paraId="5B800B5D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5A40D942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Dichotomized or categorizes</w:t>
            </w:r>
          </w:p>
        </w:tc>
        <w:tc>
          <w:tcPr>
            <w:tcW w:w="5305" w:type="dxa"/>
          </w:tcPr>
          <w:p w14:paraId="04DB9717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441EF62D" w14:textId="77777777" w:rsidTr="00931D58">
        <w:tc>
          <w:tcPr>
            <w:tcW w:w="4045" w:type="dxa"/>
            <w:gridSpan w:val="2"/>
          </w:tcPr>
          <w:p w14:paraId="6E3BB3BD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 w:rsidRPr="008C27DB">
              <w:rPr>
                <w:rFonts w:ascii="Times New Roman" w:eastAsia="Times New Roman" w:hAnsi="Times New Roman"/>
                <w:b/>
                <w:bCs/>
                <w:szCs w:val="26"/>
              </w:rPr>
              <w:t>Method of Cannabis Use Assessment</w:t>
            </w:r>
          </w:p>
        </w:tc>
        <w:tc>
          <w:tcPr>
            <w:tcW w:w="5305" w:type="dxa"/>
          </w:tcPr>
          <w:p w14:paraId="036B3D65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1DCAD966" w14:textId="77777777" w:rsidTr="00931D58">
        <w:tc>
          <w:tcPr>
            <w:tcW w:w="427" w:type="dxa"/>
          </w:tcPr>
          <w:p w14:paraId="72D6F5CF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8C27DB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3BA101C2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8C27DB">
              <w:rPr>
                <w:rFonts w:ascii="Times New Roman" w:eastAsia="Times New Roman" w:hAnsi="Times New Roman"/>
                <w:szCs w:val="26"/>
              </w:rPr>
              <w:t>Self-report</w:t>
            </w:r>
          </w:p>
        </w:tc>
        <w:tc>
          <w:tcPr>
            <w:tcW w:w="5305" w:type="dxa"/>
          </w:tcPr>
          <w:p w14:paraId="2ACD372F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4A311A3" w14:textId="77777777" w:rsidTr="00931D58">
        <w:tc>
          <w:tcPr>
            <w:tcW w:w="427" w:type="dxa"/>
          </w:tcPr>
          <w:p w14:paraId="0A02D0EF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8C27DB">
              <w:rPr>
                <w:rFonts w:ascii="Times New Roman" w:eastAsia="Times New Roman" w:hAnsi="Times New Roman"/>
                <w:szCs w:val="26"/>
              </w:rPr>
              <w:t>2</w:t>
            </w:r>
          </w:p>
        </w:tc>
        <w:tc>
          <w:tcPr>
            <w:tcW w:w="3618" w:type="dxa"/>
          </w:tcPr>
          <w:p w14:paraId="2916211D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8C27DB">
              <w:rPr>
                <w:rFonts w:ascii="Times New Roman" w:eastAsia="Times New Roman" w:hAnsi="Times New Roman"/>
                <w:szCs w:val="26"/>
              </w:rPr>
              <w:t>Interview</w:t>
            </w:r>
          </w:p>
        </w:tc>
        <w:tc>
          <w:tcPr>
            <w:tcW w:w="5305" w:type="dxa"/>
          </w:tcPr>
          <w:p w14:paraId="51012987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E5CADEB" w14:textId="77777777" w:rsidTr="00931D58">
        <w:tc>
          <w:tcPr>
            <w:tcW w:w="427" w:type="dxa"/>
          </w:tcPr>
          <w:p w14:paraId="6EE85BC6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8C27DB">
              <w:rPr>
                <w:rFonts w:ascii="Times New Roman" w:eastAsia="Times New Roman" w:hAnsi="Times New Roman"/>
                <w:szCs w:val="26"/>
              </w:rPr>
              <w:t>3</w:t>
            </w:r>
          </w:p>
        </w:tc>
        <w:tc>
          <w:tcPr>
            <w:tcW w:w="3618" w:type="dxa"/>
          </w:tcPr>
          <w:p w14:paraId="6315B8A8" w14:textId="77777777" w:rsidR="008572F7" w:rsidRPr="008C27D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8C27DB">
              <w:rPr>
                <w:rFonts w:ascii="Times New Roman" w:eastAsia="Times New Roman" w:hAnsi="Times New Roman"/>
                <w:szCs w:val="26"/>
              </w:rPr>
              <w:t>Unclear</w:t>
            </w:r>
          </w:p>
        </w:tc>
        <w:tc>
          <w:tcPr>
            <w:tcW w:w="5305" w:type="dxa"/>
          </w:tcPr>
          <w:p w14:paraId="5359FD71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19163A4F" w14:textId="77777777" w:rsidTr="00931D58">
        <w:tc>
          <w:tcPr>
            <w:tcW w:w="4045" w:type="dxa"/>
            <w:gridSpan w:val="2"/>
          </w:tcPr>
          <w:p w14:paraId="0488F05C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Population (exposed group) – open text</w:t>
            </w:r>
          </w:p>
        </w:tc>
        <w:tc>
          <w:tcPr>
            <w:tcW w:w="5305" w:type="dxa"/>
          </w:tcPr>
          <w:p w14:paraId="1479A0B0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Cannabis user by age 15</w:t>
            </w:r>
          </w:p>
        </w:tc>
      </w:tr>
      <w:tr w:rsidR="008572F7" w:rsidRPr="000D58ED" w14:paraId="3391DF53" w14:textId="77777777" w:rsidTr="00931D58">
        <w:tc>
          <w:tcPr>
            <w:tcW w:w="4045" w:type="dxa"/>
            <w:gridSpan w:val="2"/>
          </w:tcPr>
          <w:p w14:paraId="04C7AF49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Heavy/Problematic Use</w:t>
            </w:r>
          </w:p>
        </w:tc>
        <w:tc>
          <w:tcPr>
            <w:tcW w:w="5305" w:type="dxa"/>
          </w:tcPr>
          <w:p w14:paraId="7B9C3B0A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0</w:t>
            </w:r>
          </w:p>
        </w:tc>
      </w:tr>
      <w:tr w:rsidR="008572F7" w:rsidRPr="000D58ED" w14:paraId="6B47FFC4" w14:textId="77777777" w:rsidTr="00931D58">
        <w:tc>
          <w:tcPr>
            <w:tcW w:w="427" w:type="dxa"/>
          </w:tcPr>
          <w:p w14:paraId="7E31542E" w14:textId="77777777" w:rsidR="008572F7" w:rsidRPr="007D6E3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7D6E3B">
              <w:rPr>
                <w:rFonts w:ascii="Times New Roman" w:eastAsia="Times New Roman" w:hAnsi="Times New Roman"/>
                <w:szCs w:val="26"/>
              </w:rPr>
              <w:t>1</w:t>
            </w:r>
          </w:p>
        </w:tc>
        <w:tc>
          <w:tcPr>
            <w:tcW w:w="3618" w:type="dxa"/>
          </w:tcPr>
          <w:p w14:paraId="45777188" w14:textId="77777777" w:rsidR="008572F7" w:rsidRPr="007D6E3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7D6E3B">
              <w:rPr>
                <w:rFonts w:ascii="Times New Roman" w:eastAsia="Times New Roman" w:hAnsi="Times New Roman"/>
                <w:szCs w:val="26"/>
              </w:rPr>
              <w:t>Heavy/Problematic</w:t>
            </w:r>
          </w:p>
        </w:tc>
        <w:tc>
          <w:tcPr>
            <w:tcW w:w="5305" w:type="dxa"/>
          </w:tcPr>
          <w:p w14:paraId="124B3BF6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CB1A890" w14:textId="77777777" w:rsidTr="00931D58">
        <w:tc>
          <w:tcPr>
            <w:tcW w:w="427" w:type="dxa"/>
          </w:tcPr>
          <w:p w14:paraId="442BF345" w14:textId="77777777" w:rsidR="008572F7" w:rsidRPr="007D6E3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7D6E3B">
              <w:rPr>
                <w:rFonts w:ascii="Times New Roman" w:eastAsia="Times New Roman" w:hAnsi="Times New Roman"/>
                <w:szCs w:val="26"/>
              </w:rPr>
              <w:t>0</w:t>
            </w:r>
          </w:p>
        </w:tc>
        <w:tc>
          <w:tcPr>
            <w:tcW w:w="3618" w:type="dxa"/>
          </w:tcPr>
          <w:p w14:paraId="65207BA6" w14:textId="77777777" w:rsidR="008572F7" w:rsidRPr="007D6E3B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7D6E3B">
              <w:rPr>
                <w:rFonts w:ascii="Times New Roman" w:eastAsia="Times New Roman" w:hAnsi="Times New Roman"/>
                <w:szCs w:val="26"/>
              </w:rPr>
              <w:t>Not heavy</w:t>
            </w:r>
          </w:p>
        </w:tc>
        <w:tc>
          <w:tcPr>
            <w:tcW w:w="5305" w:type="dxa"/>
          </w:tcPr>
          <w:p w14:paraId="2A348A7D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6022681B" w14:textId="77777777" w:rsidTr="00931D58">
        <w:tc>
          <w:tcPr>
            <w:tcW w:w="4045" w:type="dxa"/>
            <w:gridSpan w:val="2"/>
          </w:tcPr>
          <w:p w14:paraId="069C7D46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Onset of Cannabis use</w:t>
            </w:r>
          </w:p>
        </w:tc>
        <w:tc>
          <w:tcPr>
            <w:tcW w:w="5305" w:type="dxa"/>
          </w:tcPr>
          <w:p w14:paraId="3C7E9B8E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</w:t>
            </w:r>
          </w:p>
        </w:tc>
      </w:tr>
      <w:tr w:rsidR="008572F7" w:rsidRPr="000D58ED" w14:paraId="141090CE" w14:textId="77777777" w:rsidTr="00931D58">
        <w:tc>
          <w:tcPr>
            <w:tcW w:w="427" w:type="dxa"/>
          </w:tcPr>
          <w:p w14:paraId="2300C5A0" w14:textId="77777777" w:rsidR="008572F7" w:rsidRPr="00A5792A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5792A">
              <w:rPr>
                <w:rFonts w:ascii="Times New Roman" w:eastAsia="Times New Roman" w:hAnsi="Times New Roman"/>
                <w:szCs w:val="26"/>
              </w:rPr>
              <w:lastRenderedPageBreak/>
              <w:t>1</w:t>
            </w:r>
          </w:p>
        </w:tc>
        <w:tc>
          <w:tcPr>
            <w:tcW w:w="3618" w:type="dxa"/>
          </w:tcPr>
          <w:p w14:paraId="6FAA6197" w14:textId="77777777" w:rsidR="008572F7" w:rsidRPr="00A5792A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5792A">
              <w:rPr>
                <w:rFonts w:ascii="Times New Roman" w:eastAsia="Times New Roman" w:hAnsi="Times New Roman"/>
                <w:szCs w:val="26"/>
              </w:rPr>
              <w:t>Early</w:t>
            </w:r>
          </w:p>
        </w:tc>
        <w:tc>
          <w:tcPr>
            <w:tcW w:w="5305" w:type="dxa"/>
          </w:tcPr>
          <w:p w14:paraId="766ECF38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3519F4FD" w14:textId="77777777" w:rsidTr="00931D58">
        <w:tc>
          <w:tcPr>
            <w:tcW w:w="427" w:type="dxa"/>
          </w:tcPr>
          <w:p w14:paraId="5A8FF33F" w14:textId="77777777" w:rsidR="008572F7" w:rsidRPr="00A5792A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5792A">
              <w:rPr>
                <w:rFonts w:ascii="Times New Roman" w:eastAsia="Times New Roman" w:hAnsi="Times New Roman"/>
                <w:szCs w:val="26"/>
              </w:rPr>
              <w:t>0</w:t>
            </w:r>
          </w:p>
        </w:tc>
        <w:tc>
          <w:tcPr>
            <w:tcW w:w="3618" w:type="dxa"/>
          </w:tcPr>
          <w:p w14:paraId="5F738B81" w14:textId="77777777" w:rsidR="008572F7" w:rsidRPr="00A5792A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A5792A">
              <w:rPr>
                <w:rFonts w:ascii="Times New Roman" w:eastAsia="Times New Roman" w:hAnsi="Times New Roman"/>
                <w:szCs w:val="26"/>
              </w:rPr>
              <w:t>Not early</w:t>
            </w:r>
          </w:p>
        </w:tc>
        <w:tc>
          <w:tcPr>
            <w:tcW w:w="5305" w:type="dxa"/>
          </w:tcPr>
          <w:p w14:paraId="6EBBC8F9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</w:p>
        </w:tc>
      </w:tr>
      <w:tr w:rsidR="008572F7" w:rsidRPr="000D58ED" w14:paraId="442F98BF" w14:textId="77777777" w:rsidTr="00931D58">
        <w:tc>
          <w:tcPr>
            <w:tcW w:w="4045" w:type="dxa"/>
            <w:gridSpan w:val="2"/>
          </w:tcPr>
          <w:p w14:paraId="3FD8638E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Follow-up period (months)</w:t>
            </w:r>
          </w:p>
        </w:tc>
        <w:tc>
          <w:tcPr>
            <w:tcW w:w="5305" w:type="dxa"/>
          </w:tcPr>
          <w:p w14:paraId="6B7009A9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468</w:t>
            </w:r>
          </w:p>
        </w:tc>
      </w:tr>
      <w:tr w:rsidR="008572F7" w:rsidRPr="000D58ED" w14:paraId="414CC8E3" w14:textId="77777777" w:rsidTr="00931D58">
        <w:tc>
          <w:tcPr>
            <w:tcW w:w="4045" w:type="dxa"/>
            <w:gridSpan w:val="2"/>
          </w:tcPr>
          <w:p w14:paraId="7103B711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Total (N)</w:t>
            </w:r>
          </w:p>
        </w:tc>
        <w:tc>
          <w:tcPr>
            <w:tcW w:w="5305" w:type="dxa"/>
          </w:tcPr>
          <w:p w14:paraId="369305A8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759</w:t>
            </w:r>
          </w:p>
        </w:tc>
      </w:tr>
      <w:tr w:rsidR="008572F7" w:rsidRPr="000D58ED" w14:paraId="72820266" w14:textId="77777777" w:rsidTr="00931D58">
        <w:tc>
          <w:tcPr>
            <w:tcW w:w="4045" w:type="dxa"/>
            <w:gridSpan w:val="2"/>
          </w:tcPr>
          <w:p w14:paraId="39C3718D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Cs w:val="26"/>
              </w:rPr>
              <w:t>aOR</w:t>
            </w:r>
            <w:proofErr w:type="spellEnd"/>
          </w:p>
        </w:tc>
        <w:tc>
          <w:tcPr>
            <w:tcW w:w="5305" w:type="dxa"/>
          </w:tcPr>
          <w:p w14:paraId="19E7F3D5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1.02</w:t>
            </w:r>
          </w:p>
        </w:tc>
      </w:tr>
      <w:tr w:rsidR="008572F7" w:rsidRPr="000D58ED" w14:paraId="2E610E01" w14:textId="77777777" w:rsidTr="00931D58">
        <w:tc>
          <w:tcPr>
            <w:tcW w:w="4045" w:type="dxa"/>
            <w:gridSpan w:val="2"/>
          </w:tcPr>
          <w:p w14:paraId="00A302F6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95% Confidence Interval</w:t>
            </w:r>
          </w:p>
        </w:tc>
        <w:tc>
          <w:tcPr>
            <w:tcW w:w="5305" w:type="dxa"/>
          </w:tcPr>
          <w:p w14:paraId="08B54D3F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0.34 – 3.04</w:t>
            </w:r>
          </w:p>
        </w:tc>
      </w:tr>
      <w:tr w:rsidR="008572F7" w:rsidRPr="000D58ED" w14:paraId="27C6BB08" w14:textId="77777777" w:rsidTr="00931D58">
        <w:tc>
          <w:tcPr>
            <w:tcW w:w="4045" w:type="dxa"/>
            <w:gridSpan w:val="2"/>
          </w:tcPr>
          <w:p w14:paraId="5C631078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Adjustments/Control variables</w:t>
            </w:r>
          </w:p>
        </w:tc>
        <w:tc>
          <w:tcPr>
            <w:tcW w:w="5305" w:type="dxa"/>
          </w:tcPr>
          <w:p w14:paraId="5F7BB474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 w:rsidRPr="00397E82">
              <w:rPr>
                <w:rFonts w:ascii="Times New Roman" w:eastAsia="Times New Roman" w:hAnsi="Times New Roman"/>
                <w:szCs w:val="26"/>
              </w:rPr>
              <w:t>childhood psychotic symptoms and se of other drugs in adolescence</w:t>
            </w:r>
          </w:p>
        </w:tc>
      </w:tr>
      <w:tr w:rsidR="008572F7" w:rsidRPr="000D58ED" w14:paraId="10888CB4" w14:textId="77777777" w:rsidTr="00931D58">
        <w:tc>
          <w:tcPr>
            <w:tcW w:w="4045" w:type="dxa"/>
            <w:gridSpan w:val="2"/>
          </w:tcPr>
          <w:p w14:paraId="0E01E32C" w14:textId="77777777" w:rsidR="008572F7" w:rsidRDefault="008572F7" w:rsidP="00931D58">
            <w:pPr>
              <w:spacing w:after="160" w:line="259" w:lineRule="auto"/>
              <w:ind w:firstLine="0"/>
              <w:rPr>
                <w:rFonts w:ascii="Times New Roman" w:eastAsia="Times New Roman" w:hAnsi="Times New Roman"/>
                <w:b/>
                <w:bCs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Cs w:val="26"/>
              </w:rPr>
              <w:t>Risk of Bias results</w:t>
            </w:r>
          </w:p>
        </w:tc>
        <w:tc>
          <w:tcPr>
            <w:tcW w:w="5305" w:type="dxa"/>
          </w:tcPr>
          <w:p w14:paraId="7974CA79" w14:textId="77777777" w:rsidR="008572F7" w:rsidRPr="00A072C8" w:rsidRDefault="008572F7" w:rsidP="00931D58">
            <w:pPr>
              <w:tabs>
                <w:tab w:val="left" w:pos="1335"/>
              </w:tabs>
              <w:spacing w:after="160" w:line="259" w:lineRule="auto"/>
              <w:ind w:firstLine="0"/>
              <w:rPr>
                <w:rFonts w:ascii="Times New Roman" w:eastAsia="Times New Roman" w:hAnsi="Times New Roman"/>
                <w:szCs w:val="26"/>
              </w:rPr>
            </w:pPr>
            <w:r>
              <w:rPr>
                <w:rFonts w:ascii="Times New Roman" w:eastAsia="Times New Roman" w:hAnsi="Times New Roman"/>
                <w:szCs w:val="26"/>
              </w:rPr>
              <w:t>17.5</w:t>
            </w:r>
          </w:p>
        </w:tc>
      </w:tr>
    </w:tbl>
    <w:p w14:paraId="618A9BE5" w14:textId="77777777" w:rsidR="008572F7" w:rsidRDefault="008572F7" w:rsidP="008572F7">
      <w:pPr>
        <w:spacing w:after="160" w:line="259" w:lineRule="auto"/>
        <w:ind w:firstLine="0"/>
        <w:rPr>
          <w:rFonts w:ascii="Times New Roman" w:eastAsia="Times New Roman" w:hAnsi="Times New Roman"/>
          <w:b/>
          <w:bCs/>
          <w:szCs w:val="26"/>
          <w:highlight w:val="yellow"/>
        </w:rPr>
      </w:pPr>
      <w:r>
        <w:rPr>
          <w:rFonts w:ascii="Times New Roman" w:hAnsi="Times New Roman"/>
          <w:highlight w:val="yellow"/>
        </w:rPr>
        <w:br w:type="page"/>
      </w:r>
    </w:p>
    <w:p w14:paraId="1D8B9D79" w14:textId="7F12926A" w:rsidR="008572F7" w:rsidRPr="000B4799" w:rsidRDefault="008572F7" w:rsidP="008572F7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eastAsiaTheme="minorHAnsi" w:hAnsi="Times New Roman"/>
        </w:rPr>
      </w:pPr>
      <w:bookmarkStart w:id="3" w:name="_Toc105078151"/>
      <w:r>
        <w:rPr>
          <w:rFonts w:ascii="Times New Roman" w:hAnsi="Times New Roman"/>
        </w:rPr>
        <w:lastRenderedPageBreak/>
        <w:t>Supplement</w:t>
      </w:r>
      <w:r w:rsidRPr="000B479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IV</w:t>
      </w:r>
      <w:r w:rsidRPr="000B4799">
        <w:rPr>
          <w:rFonts w:ascii="Times New Roman" w:hAnsi="Times New Roman"/>
        </w:rPr>
        <w:t xml:space="preserve">: </w:t>
      </w:r>
      <w:r w:rsidRPr="000B4799">
        <w:rPr>
          <w:rFonts w:ascii="Times New Roman" w:eastAsiaTheme="minorHAnsi" w:hAnsi="Times New Roman"/>
        </w:rPr>
        <w:t>Tool to Assess Risk of Bias in Cohort Studies</w:t>
      </w:r>
      <w:bookmarkEnd w:id="3"/>
    </w:p>
    <w:p w14:paraId="1024F969" w14:textId="77777777" w:rsidR="008572F7" w:rsidRDefault="008572F7" w:rsidP="008572F7">
      <w:pPr>
        <w:pStyle w:val="Heading2"/>
        <w:rPr>
          <w:highlight w:val="yellow"/>
        </w:rPr>
      </w:pPr>
      <w:r>
        <w:rPr>
          <w:highlight w:val="yellow"/>
        </w:rPr>
        <w:br w:type="page"/>
      </w:r>
    </w:p>
    <w:p w14:paraId="7580EB7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 w:rsidRPr="003073BE">
        <w:rPr>
          <w:rFonts w:eastAsiaTheme="minorHAnsi" w:cs="Calibri"/>
          <w:b/>
          <w:bCs/>
          <w:szCs w:val="24"/>
        </w:rPr>
        <w:lastRenderedPageBreak/>
        <w:t>1.</w:t>
      </w:r>
      <w:r>
        <w:rPr>
          <w:rFonts w:eastAsiaTheme="minorHAnsi" w:cs="Calibri"/>
          <w:szCs w:val="24"/>
        </w:rPr>
        <w:t xml:space="preserve"> </w:t>
      </w:r>
      <w:r>
        <w:rPr>
          <w:rFonts w:ascii="Calibri-Bold" w:eastAsiaTheme="minorHAnsi" w:hAnsi="Calibri-Bold" w:cs="Calibri-Bold"/>
          <w:b/>
          <w:bCs/>
          <w:szCs w:val="24"/>
        </w:rPr>
        <w:t>Was selection of exposed and non‐exposed cohorts drawn from the same population?</w:t>
      </w:r>
    </w:p>
    <w:p w14:paraId="6DD50DA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217A14D7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637E4D1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7F60C5D8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3E92E2C9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Exposed and unexposed drawn for same administrative data base</w:t>
      </w:r>
    </w:p>
    <w:p w14:paraId="2413017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of patients presenting at same points of care over the same time frame</w:t>
      </w:r>
    </w:p>
    <w:p w14:paraId="082C719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2C0ED0F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 risk of bias: exposed and unexposed presenting to different points of care or</w:t>
      </w:r>
    </w:p>
    <w:p w14:paraId="4F73CAD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over a different </w:t>
      </w:r>
      <w:proofErr w:type="gramStart"/>
      <w:r>
        <w:rPr>
          <w:rFonts w:eastAsiaTheme="minorHAnsi" w:cs="Calibri"/>
          <w:szCs w:val="24"/>
        </w:rPr>
        <w:t>time</w:t>
      </w:r>
      <w:proofErr w:type="gramEnd"/>
      <w:r>
        <w:rPr>
          <w:rFonts w:eastAsiaTheme="minorHAnsi" w:cs="Calibri"/>
          <w:szCs w:val="24"/>
        </w:rPr>
        <w:t xml:space="preserve"> frame</w:t>
      </w:r>
    </w:p>
    <w:p w14:paraId="283A0AB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</w:p>
    <w:p w14:paraId="55B9586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>2. Can we be confident in the assessment of exposure?</w:t>
      </w:r>
    </w:p>
    <w:p w14:paraId="42807BE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561DE74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543EFFB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0FE3DBCE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337431A6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Secure record [e.g. surgical records, pharmacy records]; Repeated</w:t>
      </w:r>
    </w:p>
    <w:p w14:paraId="0BA16F8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interview or other ascertainment asking about current use/</w:t>
      </w:r>
      <w:proofErr w:type="gramStart"/>
      <w:r>
        <w:rPr>
          <w:rFonts w:eastAsiaTheme="minorHAnsi" w:cs="Calibri"/>
          <w:szCs w:val="24"/>
        </w:rPr>
        <w:t>exposure</w:t>
      </w:r>
      <w:proofErr w:type="gramEnd"/>
    </w:p>
    <w:p w14:paraId="4B40F0D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1564AE5E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higher risk of bias: Structured interview at a single point in time; Written self</w:t>
      </w:r>
    </w:p>
    <w:p w14:paraId="5282177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proofErr w:type="gramStart"/>
      <w:r>
        <w:rPr>
          <w:rFonts w:eastAsiaTheme="minorHAnsi" w:cs="Calibri"/>
          <w:szCs w:val="24"/>
        </w:rPr>
        <w:t>report;</w:t>
      </w:r>
      <w:proofErr w:type="gramEnd"/>
      <w:r>
        <w:rPr>
          <w:rFonts w:eastAsiaTheme="minorHAnsi" w:cs="Calibri"/>
          <w:szCs w:val="24"/>
        </w:rPr>
        <w:t xml:space="preserve"> Individuals who are asked to retrospectively confirm their exposure status may be</w:t>
      </w:r>
    </w:p>
    <w:p w14:paraId="63CA85A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subject to recall bias – less likely to recall an exposure if they have not developed an adverse</w:t>
      </w:r>
    </w:p>
    <w:p w14:paraId="6B76EAB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outcome, and more likely to recall an exposure (whether an exposure occurred or not) if they</w:t>
      </w:r>
    </w:p>
    <w:p w14:paraId="4C17DA3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have developed an adverse outcome.</w:t>
      </w:r>
    </w:p>
    <w:p w14:paraId="4A1AE7D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053BF82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Examples of high risk of bias: uncertain how exposure information </w:t>
      </w:r>
      <w:proofErr w:type="gramStart"/>
      <w:r>
        <w:rPr>
          <w:rFonts w:eastAsiaTheme="minorHAnsi" w:cs="Calibri"/>
          <w:szCs w:val="24"/>
        </w:rPr>
        <w:t>obtained</w:t>
      </w:r>
      <w:proofErr w:type="gramEnd"/>
    </w:p>
    <w:p w14:paraId="68AA83C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</w:p>
    <w:p w14:paraId="708DF37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>3. Can we be confident that the outcome of interest was not present at start of study</w:t>
      </w:r>
    </w:p>
    <w:p w14:paraId="10C2AA8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1713AADF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688EF398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4F23EC1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 w:val="22"/>
        </w:rPr>
      </w:pPr>
    </w:p>
    <w:p w14:paraId="3025922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>4. Did the study match exposed and unexposed for all variables that are associated with the</w:t>
      </w:r>
    </w:p>
    <w:p w14:paraId="2C6429C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>outcome of interest or did the statistical analysis adjust for these prognostic variables?</w:t>
      </w:r>
    </w:p>
    <w:p w14:paraId="19A266D8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065039E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4EC8EBD7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0D0C6A0E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304D517C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comprehensive matching or adjustment for all plausible prognostic</w:t>
      </w:r>
    </w:p>
    <w:p w14:paraId="213BD6F1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variables</w:t>
      </w:r>
    </w:p>
    <w:p w14:paraId="0FB1ADA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2E607C5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higher risk of bias: matching or adjustment for most plausible prognostic variables</w:t>
      </w:r>
    </w:p>
    <w:p w14:paraId="468E31A7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5813A1A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 risk of bias: matching or adjustment for a minority of plausible prognostic</w:t>
      </w:r>
    </w:p>
    <w:p w14:paraId="042DFA56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lastRenderedPageBreak/>
        <w:t>variables, or no matching or adjustment at all. Statements of no differences between groups or</w:t>
      </w:r>
    </w:p>
    <w:p w14:paraId="72E96737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that differences were not statistically significant are not sufficient for </w:t>
      </w:r>
      <w:proofErr w:type="gramStart"/>
      <w:r>
        <w:rPr>
          <w:rFonts w:eastAsiaTheme="minorHAnsi" w:cs="Calibri"/>
          <w:szCs w:val="24"/>
        </w:rPr>
        <w:t>establishing</w:t>
      </w:r>
      <w:proofErr w:type="gramEnd"/>
    </w:p>
    <w:p w14:paraId="7F29AF19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comparability.</w:t>
      </w:r>
    </w:p>
    <w:p w14:paraId="7D2F57A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b/>
          <w:bCs/>
          <w:szCs w:val="24"/>
        </w:rPr>
      </w:pPr>
    </w:p>
    <w:p w14:paraId="1C4382F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 w:rsidRPr="00AE63AA">
        <w:rPr>
          <w:rFonts w:eastAsiaTheme="minorHAnsi" w:cs="Calibri"/>
          <w:b/>
          <w:bCs/>
          <w:szCs w:val="24"/>
        </w:rPr>
        <w:t>5.</w:t>
      </w:r>
      <w:r>
        <w:rPr>
          <w:rFonts w:eastAsiaTheme="minorHAnsi" w:cs="Calibri"/>
          <w:szCs w:val="24"/>
        </w:rPr>
        <w:t xml:space="preserve"> </w:t>
      </w:r>
      <w:r>
        <w:rPr>
          <w:rFonts w:ascii="Calibri-Bold" w:eastAsiaTheme="minorHAnsi" w:hAnsi="Calibri-Bold" w:cs="Calibri-Bold"/>
          <w:b/>
          <w:bCs/>
          <w:szCs w:val="24"/>
        </w:rPr>
        <w:t>Can we be confident in the assessment of the presence or absence of prognostic factors?</w:t>
      </w:r>
    </w:p>
    <w:p w14:paraId="6503B54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5A4DB76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728127F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5FE6B76C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311786C6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Interview of all participants; self‐completed survey from all</w:t>
      </w:r>
    </w:p>
    <w:p w14:paraId="6E9A19E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proofErr w:type="gramStart"/>
      <w:r>
        <w:rPr>
          <w:rFonts w:eastAsiaTheme="minorHAnsi" w:cs="Calibri"/>
          <w:szCs w:val="24"/>
        </w:rPr>
        <w:t>participants;</w:t>
      </w:r>
      <w:proofErr w:type="gramEnd"/>
      <w:r>
        <w:rPr>
          <w:rFonts w:eastAsiaTheme="minorHAnsi" w:cs="Calibri"/>
          <w:szCs w:val="24"/>
        </w:rPr>
        <w:t xml:space="preserve"> review of charts with reproducibility demonstrated; from data base with</w:t>
      </w:r>
    </w:p>
    <w:p w14:paraId="28E12AD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documentation of accuracy of abstraction of prognostic data</w:t>
      </w:r>
    </w:p>
    <w:p w14:paraId="6135EF58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6D2BF05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higher risk of bias: Chart review without demonstration of reproducibility; data</w:t>
      </w:r>
    </w:p>
    <w:p w14:paraId="49B1011E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base with uncertain quality of abstraction of prognostic </w:t>
      </w:r>
      <w:proofErr w:type="gramStart"/>
      <w:r>
        <w:rPr>
          <w:rFonts w:eastAsiaTheme="minorHAnsi" w:cs="Calibri"/>
          <w:szCs w:val="24"/>
        </w:rPr>
        <w:t>information</w:t>
      </w:r>
      <w:proofErr w:type="gramEnd"/>
    </w:p>
    <w:p w14:paraId="2684B3F1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4BF7E86F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 risk of bias: Prognostic information from data base with no available</w:t>
      </w:r>
    </w:p>
    <w:p w14:paraId="009CD9E6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documentation of quality of abstraction of prognostic variables</w:t>
      </w:r>
    </w:p>
    <w:p w14:paraId="1C5FEB6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 w:val="22"/>
        </w:rPr>
      </w:pPr>
    </w:p>
    <w:p w14:paraId="26D7882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>6. Can we be confident in the assessment of outcome?</w:t>
      </w:r>
    </w:p>
    <w:p w14:paraId="358EC6B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416A902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3028B10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241B843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4EAB76A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Independent blind assessment; Record linkage; For some</w:t>
      </w:r>
    </w:p>
    <w:p w14:paraId="22F32A7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outcomes (e.g. fractured hip), reference to the medical record is sufficient to satisfy the</w:t>
      </w:r>
    </w:p>
    <w:p w14:paraId="65B0527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requirement for confirmation of the fracture.</w:t>
      </w:r>
    </w:p>
    <w:p w14:paraId="3857C2FF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19E0737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higher risk of bias: Independent assessment unblinded; self‐report; For some</w:t>
      </w:r>
    </w:p>
    <w:p w14:paraId="52BAC3B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outcomes (e.g. vertebral fracture where reference to x‐rays would be required) reference to</w:t>
      </w:r>
    </w:p>
    <w:p w14:paraId="61F25C3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the medical record would not be adequate outcomes.</w:t>
      </w:r>
    </w:p>
    <w:p w14:paraId="29C911BC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21BA2C0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 risk of bias: uncertain (no description)</w:t>
      </w:r>
    </w:p>
    <w:p w14:paraId="7E3783AB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</w:p>
    <w:p w14:paraId="32C33EBE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 xml:space="preserve">7. Was the </w:t>
      </w:r>
      <w:proofErr w:type="gramStart"/>
      <w:r>
        <w:rPr>
          <w:rFonts w:ascii="Calibri-Bold" w:eastAsiaTheme="minorHAnsi" w:hAnsi="Calibri-Bold" w:cs="Calibri-Bold"/>
          <w:b/>
          <w:bCs/>
          <w:szCs w:val="24"/>
        </w:rPr>
        <w:t>follow up</w:t>
      </w:r>
      <w:proofErr w:type="gramEnd"/>
      <w:r>
        <w:rPr>
          <w:rFonts w:ascii="Calibri-Bold" w:eastAsiaTheme="minorHAnsi" w:hAnsi="Calibri-Bold" w:cs="Calibri-Bold"/>
          <w:b/>
          <w:bCs/>
          <w:szCs w:val="24"/>
        </w:rPr>
        <w:t xml:space="preserve"> of cohorts adequate?</w:t>
      </w:r>
    </w:p>
    <w:p w14:paraId="074AD02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5C20F6F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77AF001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0FA2C866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72EEAF51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No missing outcome data; Reasons for missing outcome data</w:t>
      </w:r>
    </w:p>
    <w:p w14:paraId="49C8B474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unlikely to be related to true outcome (for survival data, censoring is unlikely to introduce bias</w:t>
      </w:r>
      <w:proofErr w:type="gramStart"/>
      <w:r>
        <w:rPr>
          <w:rFonts w:eastAsiaTheme="minorHAnsi" w:cs="Calibri"/>
          <w:szCs w:val="24"/>
        </w:rPr>
        <w:t>);</w:t>
      </w:r>
      <w:proofErr w:type="gramEnd"/>
    </w:p>
    <w:p w14:paraId="33BFB41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Missing outcome data balanced in numbers across intervention groups, with similar reasons for</w:t>
      </w:r>
    </w:p>
    <w:p w14:paraId="5C6B8F3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missing data across groups; For dichotomous outcome data, the proportion of missing</w:t>
      </w:r>
    </w:p>
    <w:p w14:paraId="256152A6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outcomes compared with observed event risk is not enough to have </w:t>
      </w:r>
      <w:proofErr w:type="spellStart"/>
      <w:proofErr w:type="gramStart"/>
      <w:r>
        <w:rPr>
          <w:rFonts w:eastAsiaTheme="minorHAnsi" w:cs="Calibri"/>
          <w:szCs w:val="24"/>
        </w:rPr>
        <w:t>a</w:t>
      </w:r>
      <w:proofErr w:type="spellEnd"/>
      <w:proofErr w:type="gramEnd"/>
      <w:r>
        <w:rPr>
          <w:rFonts w:eastAsiaTheme="minorHAnsi" w:cs="Calibri"/>
          <w:szCs w:val="24"/>
        </w:rPr>
        <w:t xml:space="preserve"> important impact on the</w:t>
      </w:r>
    </w:p>
    <w:p w14:paraId="21AC69D9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lastRenderedPageBreak/>
        <w:t xml:space="preserve">intervention effect </w:t>
      </w:r>
      <w:proofErr w:type="gramStart"/>
      <w:r>
        <w:rPr>
          <w:rFonts w:eastAsiaTheme="minorHAnsi" w:cs="Calibri"/>
          <w:szCs w:val="24"/>
        </w:rPr>
        <w:t>estimate</w:t>
      </w:r>
      <w:proofErr w:type="gramEnd"/>
      <w:r>
        <w:rPr>
          <w:rFonts w:eastAsiaTheme="minorHAnsi" w:cs="Calibri"/>
          <w:szCs w:val="24"/>
        </w:rPr>
        <w:t>; For continuous outcome data, plausible effect size (difference in</w:t>
      </w:r>
    </w:p>
    <w:p w14:paraId="6E655E81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means or standardized difference in means) among missing outcomes is not large enough to</w:t>
      </w:r>
    </w:p>
    <w:p w14:paraId="41E76F4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have an important impact on the observed effect size; Missing data have been imputed </w:t>
      </w:r>
      <w:proofErr w:type="gramStart"/>
      <w:r>
        <w:rPr>
          <w:rFonts w:eastAsiaTheme="minorHAnsi" w:cs="Calibri"/>
          <w:szCs w:val="24"/>
        </w:rPr>
        <w:t>using</w:t>
      </w:r>
      <w:proofErr w:type="gramEnd"/>
    </w:p>
    <w:p w14:paraId="66A5C14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appropriate methods.</w:t>
      </w:r>
    </w:p>
    <w:p w14:paraId="7FF58920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099A8EE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Examples of high risk of bias: Reason for missing outcome data likely to be related to </w:t>
      </w:r>
      <w:proofErr w:type="gramStart"/>
      <w:r>
        <w:rPr>
          <w:rFonts w:eastAsiaTheme="minorHAnsi" w:cs="Calibri"/>
          <w:szCs w:val="24"/>
        </w:rPr>
        <w:t>true</w:t>
      </w:r>
      <w:proofErr w:type="gramEnd"/>
    </w:p>
    <w:p w14:paraId="09682A21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outcome, with either imbalance in numbers or reasons for missing data across intervention</w:t>
      </w:r>
    </w:p>
    <w:p w14:paraId="7C24E609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proofErr w:type="gramStart"/>
      <w:r>
        <w:rPr>
          <w:rFonts w:eastAsiaTheme="minorHAnsi" w:cs="Calibri"/>
          <w:szCs w:val="24"/>
        </w:rPr>
        <w:t>groups;</w:t>
      </w:r>
      <w:proofErr w:type="gramEnd"/>
      <w:r>
        <w:rPr>
          <w:rFonts w:eastAsiaTheme="minorHAnsi" w:cs="Calibri"/>
          <w:szCs w:val="24"/>
        </w:rPr>
        <w:t xml:space="preserve"> For dichotomous outcome data, the proportion of missing outcomes compared with</w:t>
      </w:r>
    </w:p>
    <w:p w14:paraId="2E99F45C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observed event risk is enough to induce important bias in intervention effect estimate; For</w:t>
      </w:r>
    </w:p>
    <w:p w14:paraId="63404875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continuous outcome data, plausible effect size (difference in means or standardized difference</w:t>
      </w:r>
    </w:p>
    <w:p w14:paraId="3428A4F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in means) among missing outcomes is large enough to induce clinically relevant bias in the</w:t>
      </w:r>
    </w:p>
    <w:p w14:paraId="164C95BC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observed effect size.</w:t>
      </w:r>
    </w:p>
    <w:p w14:paraId="1318FB28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 w:val="22"/>
        </w:rPr>
      </w:pPr>
    </w:p>
    <w:p w14:paraId="4067E74D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ascii="Calibri-Bold" w:eastAsiaTheme="minorHAnsi" w:hAnsi="Calibri-Bold" w:cs="Calibri-Bold"/>
          <w:b/>
          <w:bCs/>
          <w:szCs w:val="24"/>
        </w:rPr>
      </w:pPr>
      <w:r>
        <w:rPr>
          <w:rFonts w:ascii="Calibri-Bold" w:eastAsiaTheme="minorHAnsi" w:hAnsi="Calibri-Bold" w:cs="Calibri-Bold"/>
          <w:b/>
          <w:bCs/>
          <w:szCs w:val="24"/>
        </w:rPr>
        <w:t>8. Were co‐Interventions similar between groups?</w:t>
      </w:r>
    </w:p>
    <w:p w14:paraId="6D215088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321B704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Definitely yes</w:t>
      </w:r>
      <w:r>
        <w:rPr>
          <w:rFonts w:eastAsiaTheme="minorHAnsi" w:cs="Calibri"/>
          <w:szCs w:val="24"/>
        </w:rPr>
        <w:tab/>
        <w:t xml:space="preserve"> </w:t>
      </w:r>
      <w:r>
        <w:rPr>
          <w:rFonts w:eastAsiaTheme="minorHAnsi" w:cs="Calibri"/>
          <w:szCs w:val="24"/>
        </w:rPr>
        <w:tab/>
        <w:t xml:space="preserve">Probably yes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 xml:space="preserve">Probably </w:t>
      </w:r>
      <w:proofErr w:type="gramStart"/>
      <w:r>
        <w:rPr>
          <w:rFonts w:eastAsiaTheme="minorHAnsi" w:cs="Calibri"/>
          <w:szCs w:val="24"/>
        </w:rPr>
        <w:t>no</w:t>
      </w:r>
      <w:proofErr w:type="gramEnd"/>
      <w:r>
        <w:rPr>
          <w:rFonts w:eastAsiaTheme="minorHAnsi" w:cs="Calibri"/>
          <w:szCs w:val="24"/>
        </w:rPr>
        <w:t xml:space="preserve">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Definitely no</w:t>
      </w:r>
    </w:p>
    <w:p w14:paraId="61AE81BF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(low risk of bias) </w:t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</w:r>
      <w:r>
        <w:rPr>
          <w:rFonts w:eastAsiaTheme="minorHAnsi" w:cs="Calibri"/>
          <w:szCs w:val="24"/>
        </w:rPr>
        <w:tab/>
        <w:t>(high risk of bias)</w:t>
      </w:r>
    </w:p>
    <w:p w14:paraId="7EB45A32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67F519E3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low risk of bias: Most or all relevant co‐interventions that might influence the</w:t>
      </w:r>
    </w:p>
    <w:p w14:paraId="40EEFEB1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outcome of interest </w:t>
      </w:r>
      <w:proofErr w:type="gramStart"/>
      <w:r>
        <w:rPr>
          <w:rFonts w:eastAsiaTheme="minorHAnsi" w:cs="Calibri"/>
          <w:szCs w:val="24"/>
        </w:rPr>
        <w:t>are</w:t>
      </w:r>
      <w:proofErr w:type="gramEnd"/>
      <w:r>
        <w:rPr>
          <w:rFonts w:eastAsiaTheme="minorHAnsi" w:cs="Calibri"/>
          <w:szCs w:val="24"/>
        </w:rPr>
        <w:t xml:space="preserve"> documented to be similar in the exposed and unexposed.</w:t>
      </w:r>
    </w:p>
    <w:p w14:paraId="2BADB55A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</w:p>
    <w:p w14:paraId="42130A7F" w14:textId="77777777" w:rsidR="008572F7" w:rsidRDefault="008572F7" w:rsidP="008572F7">
      <w:pPr>
        <w:autoSpaceDE w:val="0"/>
        <w:autoSpaceDN w:val="0"/>
        <w:adjustRightInd w:val="0"/>
        <w:spacing w:line="240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Examples of high risk of bias: Few or no relevant co‐interventions that might influence the</w:t>
      </w:r>
    </w:p>
    <w:p w14:paraId="6F868AF1" w14:textId="77777777" w:rsidR="008572F7" w:rsidRDefault="008572F7" w:rsidP="008572F7">
      <w:pPr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 xml:space="preserve">outcome of interest </w:t>
      </w:r>
      <w:proofErr w:type="gramStart"/>
      <w:r>
        <w:rPr>
          <w:rFonts w:eastAsiaTheme="minorHAnsi" w:cs="Calibri"/>
          <w:szCs w:val="24"/>
        </w:rPr>
        <w:t>are</w:t>
      </w:r>
      <w:proofErr w:type="gramEnd"/>
      <w:r>
        <w:rPr>
          <w:rFonts w:eastAsiaTheme="minorHAnsi" w:cs="Calibri"/>
          <w:szCs w:val="24"/>
        </w:rPr>
        <w:t xml:space="preserve"> documented to be similar in the exposed and unexposed.</w:t>
      </w:r>
    </w:p>
    <w:p w14:paraId="178D3378" w14:textId="77777777" w:rsidR="008572F7" w:rsidRDefault="008572F7" w:rsidP="008572F7">
      <w:pPr>
        <w:spacing w:after="160" w:line="259" w:lineRule="auto"/>
        <w:ind w:firstLine="0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br w:type="page"/>
      </w:r>
    </w:p>
    <w:p w14:paraId="1EFC3612" w14:textId="77777777" w:rsidR="008572F7" w:rsidRDefault="008572F7" w:rsidP="008572F7">
      <w:pPr>
        <w:ind w:firstLine="0"/>
        <w:rPr>
          <w:rFonts w:ascii="Times New Roman" w:hAnsi="Times New Roman"/>
        </w:rPr>
        <w:sectPr w:rsidR="008572F7" w:rsidSect="008572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B32236" w14:textId="67F67B57" w:rsidR="008572F7" w:rsidRPr="000B4799" w:rsidRDefault="008572F7" w:rsidP="008572F7">
      <w:pPr>
        <w:pStyle w:val="Heading2"/>
        <w:numPr>
          <w:ilvl w:val="0"/>
          <w:numId w:val="0"/>
        </w:numPr>
        <w:ind w:left="720" w:hanging="720"/>
        <w:rPr>
          <w:rFonts w:ascii="Times New Roman" w:hAnsi="Times New Roman"/>
        </w:rPr>
      </w:pPr>
      <w:bookmarkStart w:id="4" w:name="_Toc105078152"/>
      <w:r>
        <w:rPr>
          <w:rFonts w:ascii="Times New Roman" w:hAnsi="Times New Roman"/>
        </w:rPr>
        <w:lastRenderedPageBreak/>
        <w:t>Supplement</w:t>
      </w:r>
      <w:r w:rsidRPr="000B4799">
        <w:rPr>
          <w:rFonts w:ascii="Times New Roman" w:hAnsi="Times New Roman"/>
        </w:rPr>
        <w:t xml:space="preserve"> V. Risk of Bias Results</w:t>
      </w:r>
      <w:bookmarkEnd w:id="4"/>
    </w:p>
    <w:tbl>
      <w:tblPr>
        <w:tblStyle w:val="TableGrid"/>
        <w:tblW w:w="13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350"/>
        <w:gridCol w:w="1303"/>
        <w:gridCol w:w="1662"/>
        <w:gridCol w:w="1878"/>
        <w:gridCol w:w="1283"/>
        <w:gridCol w:w="1349"/>
        <w:gridCol w:w="1437"/>
        <w:gridCol w:w="1343"/>
      </w:tblGrid>
      <w:tr w:rsidR="008572F7" w:rsidRPr="0079086E" w14:paraId="3314DA07" w14:textId="77777777" w:rsidTr="00931D58">
        <w:tc>
          <w:tcPr>
            <w:tcW w:w="1530" w:type="dxa"/>
          </w:tcPr>
          <w:p w14:paraId="0F344B03" w14:textId="77777777" w:rsidR="008572F7" w:rsidRPr="00EC64EC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EC64EC">
              <w:rPr>
                <w:rFonts w:ascii="Times New Roman" w:hAnsi="Times New Roman"/>
                <w:b/>
                <w:bCs/>
                <w:szCs w:val="24"/>
              </w:rPr>
              <w:t>Article</w:t>
            </w:r>
          </w:p>
        </w:tc>
        <w:tc>
          <w:tcPr>
            <w:tcW w:w="1350" w:type="dxa"/>
          </w:tcPr>
          <w:p w14:paraId="642E59F3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1. Was selection of exposed and non-exposed cohorts drawn from the same population?</w:t>
            </w:r>
          </w:p>
        </w:tc>
        <w:tc>
          <w:tcPr>
            <w:tcW w:w="1303" w:type="dxa"/>
          </w:tcPr>
          <w:p w14:paraId="613DB164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2. Can we be confident in the assessment of the exposure?</w:t>
            </w:r>
          </w:p>
        </w:tc>
        <w:tc>
          <w:tcPr>
            <w:tcW w:w="1662" w:type="dxa"/>
          </w:tcPr>
          <w:p w14:paraId="16CB3BAC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 xml:space="preserve">3. Can we be confident that the outcome of interest was not present at </w:t>
            </w:r>
            <w:proofErr w:type="gramStart"/>
            <w:r w:rsidRPr="0079086E">
              <w:rPr>
                <w:rFonts w:ascii="Times New Roman" w:hAnsi="Times New Roman"/>
                <w:b/>
                <w:bCs/>
                <w:szCs w:val="24"/>
              </w:rPr>
              <w:t>start</w:t>
            </w:r>
            <w:proofErr w:type="gramEnd"/>
            <w:r w:rsidRPr="0079086E">
              <w:rPr>
                <w:rFonts w:ascii="Times New Roman" w:hAnsi="Times New Roman"/>
                <w:b/>
                <w:bCs/>
                <w:szCs w:val="24"/>
              </w:rPr>
              <w:t xml:space="preserve"> of the study? [if it was controlled for = 1.75)</w:t>
            </w:r>
          </w:p>
        </w:tc>
        <w:tc>
          <w:tcPr>
            <w:tcW w:w="1878" w:type="dxa"/>
          </w:tcPr>
          <w:p w14:paraId="0DBCF002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4.Did the study match exposed and unexposed for all variables that are associated with the outcome of interest or did the statistical analysis adjust for these prognostic variables?</w:t>
            </w:r>
          </w:p>
        </w:tc>
        <w:tc>
          <w:tcPr>
            <w:tcW w:w="1283" w:type="dxa"/>
          </w:tcPr>
          <w:p w14:paraId="24502AE2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5. Can we be confident in the assessment of the presence or absence of prognostic factors?</w:t>
            </w:r>
          </w:p>
        </w:tc>
        <w:tc>
          <w:tcPr>
            <w:tcW w:w="1349" w:type="dxa"/>
          </w:tcPr>
          <w:p w14:paraId="3289F5BF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6. Can we be confident in the assessment of outcome?</w:t>
            </w:r>
          </w:p>
        </w:tc>
        <w:tc>
          <w:tcPr>
            <w:tcW w:w="1437" w:type="dxa"/>
          </w:tcPr>
          <w:p w14:paraId="71A56B76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7. Was the follow up of cohorts adequate?</w:t>
            </w:r>
          </w:p>
        </w:tc>
        <w:tc>
          <w:tcPr>
            <w:tcW w:w="1343" w:type="dxa"/>
          </w:tcPr>
          <w:p w14:paraId="72188E37" w14:textId="77777777" w:rsidR="008572F7" w:rsidRPr="0079086E" w:rsidRDefault="008572F7" w:rsidP="00931D58">
            <w:pPr>
              <w:spacing w:after="160" w:line="259" w:lineRule="auto"/>
              <w:ind w:firstLine="0"/>
              <w:rPr>
                <w:rFonts w:ascii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szCs w:val="24"/>
              </w:rPr>
              <w:t>Mean</w:t>
            </w:r>
          </w:p>
        </w:tc>
      </w:tr>
      <w:tr w:rsidR="008572F7" w:rsidRPr="001A74B7" w14:paraId="400599CF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41FD16BC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Arseneault, 2002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255DFC1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219DF23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4362610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3032229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3.5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0E65BFCB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707B866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4DE08F2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3AE00AA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2.64</w:t>
            </w:r>
          </w:p>
        </w:tc>
      </w:tr>
      <w:tr w:rsidR="008572F7" w:rsidRPr="001A74B7" w14:paraId="6AF93095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31EA7EAE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Blanco, 2016</w:t>
            </w:r>
          </w:p>
        </w:tc>
        <w:tc>
          <w:tcPr>
            <w:tcW w:w="1350" w:type="dxa"/>
            <w:vAlign w:val="center"/>
          </w:tcPr>
          <w:p w14:paraId="0C0AA2F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0F19C73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662" w:type="dxa"/>
            <w:vAlign w:val="center"/>
          </w:tcPr>
          <w:p w14:paraId="6AFBCC9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878" w:type="dxa"/>
            <w:vAlign w:val="center"/>
          </w:tcPr>
          <w:p w14:paraId="58E4874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283" w:type="dxa"/>
            <w:vAlign w:val="center"/>
          </w:tcPr>
          <w:p w14:paraId="5225D70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vAlign w:val="center"/>
          </w:tcPr>
          <w:p w14:paraId="10B7F30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437" w:type="dxa"/>
            <w:vAlign w:val="center"/>
          </w:tcPr>
          <w:p w14:paraId="7BF31D3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3" w:type="dxa"/>
            <w:vAlign w:val="center"/>
          </w:tcPr>
          <w:p w14:paraId="38B3F63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1.93</w:t>
            </w:r>
          </w:p>
        </w:tc>
      </w:tr>
      <w:tr w:rsidR="008572F7" w:rsidRPr="001A74B7" w14:paraId="1403EAF8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74C9C275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Bovasso, 2001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7B35E5E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5DC2DD2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17AB57E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2358AD0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1BF303D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54E82E1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6A3C3AE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3.5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23ABE1D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2.07</w:t>
            </w:r>
          </w:p>
        </w:tc>
      </w:tr>
      <w:tr w:rsidR="008572F7" w:rsidRPr="001A74B7" w14:paraId="34D17D46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7559FB37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 xml:space="preserve">Brook, 2002 </w:t>
            </w:r>
          </w:p>
        </w:tc>
        <w:tc>
          <w:tcPr>
            <w:tcW w:w="1350" w:type="dxa"/>
            <w:vAlign w:val="center"/>
          </w:tcPr>
          <w:p w14:paraId="180765F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6EE0823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35F1242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878" w:type="dxa"/>
            <w:vAlign w:val="center"/>
          </w:tcPr>
          <w:p w14:paraId="7F046C1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283" w:type="dxa"/>
            <w:vAlign w:val="center"/>
          </w:tcPr>
          <w:p w14:paraId="67B3A79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349" w:type="dxa"/>
            <w:vAlign w:val="center"/>
          </w:tcPr>
          <w:p w14:paraId="723121C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vAlign w:val="center"/>
          </w:tcPr>
          <w:p w14:paraId="61EA760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343" w:type="dxa"/>
            <w:vAlign w:val="center"/>
          </w:tcPr>
          <w:p w14:paraId="7AC00D7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2.29</w:t>
            </w:r>
          </w:p>
        </w:tc>
      </w:tr>
      <w:tr w:rsidR="008572F7" w:rsidRPr="001A74B7" w14:paraId="1C86269D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63BFC7C2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 xml:space="preserve">Brook, 2011 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F5F5BC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851D11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15D0393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70302AE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02EBC38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29B8EE9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6A58A1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07B0966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2.50</w:t>
            </w:r>
          </w:p>
        </w:tc>
      </w:tr>
      <w:tr w:rsidR="008572F7" w:rsidRPr="001A74B7" w14:paraId="2E353DBE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618415EC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Copeland, 2022</w:t>
            </w:r>
          </w:p>
        </w:tc>
        <w:tc>
          <w:tcPr>
            <w:tcW w:w="1350" w:type="dxa"/>
            <w:vAlign w:val="center"/>
          </w:tcPr>
          <w:p w14:paraId="2349E41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64C0FD2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662" w:type="dxa"/>
            <w:vAlign w:val="center"/>
          </w:tcPr>
          <w:p w14:paraId="5ABCD27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vAlign w:val="center"/>
          </w:tcPr>
          <w:p w14:paraId="18E28DB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283" w:type="dxa"/>
            <w:vAlign w:val="center"/>
          </w:tcPr>
          <w:p w14:paraId="4662D28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49" w:type="dxa"/>
            <w:vAlign w:val="center"/>
          </w:tcPr>
          <w:p w14:paraId="5833A8A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vAlign w:val="center"/>
          </w:tcPr>
          <w:p w14:paraId="50DB366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04C254A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1.54</w:t>
            </w:r>
          </w:p>
        </w:tc>
      </w:tr>
      <w:tr w:rsidR="008572F7" w:rsidRPr="001A74B7" w14:paraId="6EE426A4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4B8E5DAA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Danielsson, 2015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2FAC331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7C30447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62BF0D3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566A4F7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4778792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73CD9C7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1F8A1B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2A61396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2.29</w:t>
            </w:r>
          </w:p>
        </w:tc>
      </w:tr>
      <w:tr w:rsidR="008572F7" w:rsidRPr="001A74B7" w14:paraId="0C74D639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41AB55F1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Degenhardt, 2013</w:t>
            </w:r>
          </w:p>
        </w:tc>
        <w:tc>
          <w:tcPr>
            <w:tcW w:w="1350" w:type="dxa"/>
            <w:vAlign w:val="center"/>
          </w:tcPr>
          <w:p w14:paraId="650CDBD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395A800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5FEF4E5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vAlign w:val="center"/>
          </w:tcPr>
          <w:p w14:paraId="7A9DFEE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283" w:type="dxa"/>
            <w:vAlign w:val="center"/>
          </w:tcPr>
          <w:p w14:paraId="1A47E75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349" w:type="dxa"/>
            <w:vAlign w:val="center"/>
          </w:tcPr>
          <w:p w14:paraId="5381BF5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vAlign w:val="center"/>
          </w:tcPr>
          <w:p w14:paraId="3396D0F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vAlign w:val="center"/>
          </w:tcPr>
          <w:p w14:paraId="3BDC45F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2.32</w:t>
            </w:r>
          </w:p>
        </w:tc>
      </w:tr>
      <w:tr w:rsidR="008572F7" w:rsidRPr="001A74B7" w14:paraId="25D4259E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794AF2BD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 xml:space="preserve">Feingold, 2015 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B4F390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394C228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38D666F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1439199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6D97024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5540455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1DB2420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5A9BCB5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1.96</w:t>
            </w:r>
          </w:p>
        </w:tc>
      </w:tr>
      <w:tr w:rsidR="008572F7" w:rsidRPr="001A74B7" w14:paraId="54FEE802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56B3D88B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Fergusson, 1997</w:t>
            </w:r>
          </w:p>
        </w:tc>
        <w:tc>
          <w:tcPr>
            <w:tcW w:w="1350" w:type="dxa"/>
            <w:vAlign w:val="center"/>
          </w:tcPr>
          <w:p w14:paraId="4C87248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7791860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24CF370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878" w:type="dxa"/>
            <w:vAlign w:val="center"/>
          </w:tcPr>
          <w:p w14:paraId="3C7EA67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283" w:type="dxa"/>
            <w:vAlign w:val="center"/>
          </w:tcPr>
          <w:p w14:paraId="61C5E3E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349" w:type="dxa"/>
            <w:vAlign w:val="center"/>
          </w:tcPr>
          <w:p w14:paraId="7FC5BEC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vAlign w:val="center"/>
          </w:tcPr>
          <w:p w14:paraId="6033F32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vAlign w:val="center"/>
          </w:tcPr>
          <w:p w14:paraId="44037DD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2.64</w:t>
            </w:r>
          </w:p>
        </w:tc>
      </w:tr>
      <w:tr w:rsidR="008572F7" w:rsidRPr="001A74B7" w14:paraId="2DDE4F67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52178531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lastRenderedPageBreak/>
              <w:t>Gage, 2015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6B5D9B4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011B54B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108D49B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1752DB6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60B7306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6EC7DF6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04D252A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13B8A6A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2.32</w:t>
            </w:r>
          </w:p>
        </w:tc>
      </w:tr>
      <w:tr w:rsidR="008572F7" w:rsidRPr="001A74B7" w14:paraId="4570AFB0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4498EA20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D6576B">
              <w:rPr>
                <w:rFonts w:ascii="Times New Roman" w:eastAsia="Times New Roman" w:hAnsi="Times New Roman"/>
                <w:szCs w:val="24"/>
              </w:rPr>
              <w:t>Georglades</w:t>
            </w:r>
            <w:proofErr w:type="spellEnd"/>
            <w:r w:rsidRPr="00D6576B">
              <w:rPr>
                <w:rFonts w:ascii="Times New Roman" w:eastAsia="Times New Roman" w:hAnsi="Times New Roman"/>
                <w:szCs w:val="24"/>
              </w:rPr>
              <w:t>, 2007</w:t>
            </w:r>
          </w:p>
        </w:tc>
        <w:tc>
          <w:tcPr>
            <w:tcW w:w="1350" w:type="dxa"/>
            <w:vAlign w:val="center"/>
          </w:tcPr>
          <w:p w14:paraId="395AA0F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64DD3D2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167FE7D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vAlign w:val="center"/>
          </w:tcPr>
          <w:p w14:paraId="43ED374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283" w:type="dxa"/>
            <w:vAlign w:val="center"/>
          </w:tcPr>
          <w:p w14:paraId="7E6EB6B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vAlign w:val="center"/>
          </w:tcPr>
          <w:p w14:paraId="7865A54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vAlign w:val="center"/>
          </w:tcPr>
          <w:p w14:paraId="6E83C58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3" w:type="dxa"/>
            <w:vAlign w:val="center"/>
          </w:tcPr>
          <w:p w14:paraId="503CBEC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1.96</w:t>
            </w:r>
          </w:p>
        </w:tc>
      </w:tr>
      <w:tr w:rsidR="008572F7" w:rsidRPr="001A74B7" w14:paraId="66E0708B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0F10DE63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Harder, 2006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530419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7750746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648F532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697541F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526FF81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2C8E85D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72B26FD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427A3F7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1.96</w:t>
            </w:r>
          </w:p>
        </w:tc>
      </w:tr>
      <w:tr w:rsidR="008572F7" w:rsidRPr="001A74B7" w14:paraId="1677DA7E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4B4A81ED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 xml:space="preserve">Harder, 2008 </w:t>
            </w:r>
          </w:p>
        </w:tc>
        <w:tc>
          <w:tcPr>
            <w:tcW w:w="1350" w:type="dxa"/>
            <w:vAlign w:val="center"/>
          </w:tcPr>
          <w:p w14:paraId="04673D7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07AE967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662" w:type="dxa"/>
            <w:vAlign w:val="center"/>
          </w:tcPr>
          <w:p w14:paraId="4FCF139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878" w:type="dxa"/>
            <w:vAlign w:val="center"/>
          </w:tcPr>
          <w:p w14:paraId="562F892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283" w:type="dxa"/>
            <w:vAlign w:val="center"/>
          </w:tcPr>
          <w:p w14:paraId="78AE972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vAlign w:val="center"/>
          </w:tcPr>
          <w:p w14:paraId="5CEAA80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437" w:type="dxa"/>
            <w:vAlign w:val="center"/>
          </w:tcPr>
          <w:p w14:paraId="313C4EF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vAlign w:val="center"/>
          </w:tcPr>
          <w:p w14:paraId="71AD0A7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1.93</w:t>
            </w:r>
          </w:p>
        </w:tc>
      </w:tr>
      <w:tr w:rsidR="008572F7" w:rsidRPr="001A74B7" w14:paraId="4B03D343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0F05C41B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D6576B">
              <w:rPr>
                <w:rFonts w:ascii="Times New Roman" w:eastAsia="Times New Roman" w:hAnsi="Times New Roman"/>
                <w:szCs w:val="24"/>
              </w:rPr>
              <w:t>Hengartner</w:t>
            </w:r>
            <w:proofErr w:type="spellEnd"/>
            <w:r w:rsidRPr="00D6576B">
              <w:rPr>
                <w:rFonts w:ascii="Times New Roman" w:eastAsia="Times New Roman" w:hAnsi="Times New Roman"/>
                <w:szCs w:val="24"/>
              </w:rPr>
              <w:t>, 2020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6B40F95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36AADEB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542EF76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28D6445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3F07DB1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2B6C473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73F4BE4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0F33A31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2.11</w:t>
            </w:r>
          </w:p>
        </w:tc>
      </w:tr>
      <w:tr w:rsidR="008572F7" w:rsidRPr="001A74B7" w14:paraId="48E5A300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6CCC967E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Manrique-Garcia, 2012</w:t>
            </w:r>
          </w:p>
        </w:tc>
        <w:tc>
          <w:tcPr>
            <w:tcW w:w="1350" w:type="dxa"/>
            <w:vAlign w:val="center"/>
          </w:tcPr>
          <w:p w14:paraId="7FB641D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0E093F8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13D8121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3.5</w:t>
            </w:r>
          </w:p>
        </w:tc>
        <w:tc>
          <w:tcPr>
            <w:tcW w:w="1878" w:type="dxa"/>
            <w:vAlign w:val="center"/>
          </w:tcPr>
          <w:p w14:paraId="6339C3BB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283" w:type="dxa"/>
            <w:vAlign w:val="center"/>
          </w:tcPr>
          <w:p w14:paraId="3A16C78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vAlign w:val="center"/>
          </w:tcPr>
          <w:p w14:paraId="16F27EA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 w14:paraId="6FF0E3D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0761AAE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1.86</w:t>
            </w:r>
          </w:p>
        </w:tc>
      </w:tr>
      <w:tr w:rsidR="008572F7" w:rsidRPr="001A74B7" w14:paraId="3E129811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2CAB1D5B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Marmorstein, 2011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3B91E42E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66EB946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76A9D9A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6D100DD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1.5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1BF0159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647876D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7C7469D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190DB62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1.71</w:t>
            </w:r>
          </w:p>
        </w:tc>
      </w:tr>
      <w:tr w:rsidR="008572F7" w:rsidRPr="001A74B7" w14:paraId="031DD00F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6A609519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Paton, 1977</w:t>
            </w:r>
          </w:p>
        </w:tc>
        <w:tc>
          <w:tcPr>
            <w:tcW w:w="1350" w:type="dxa"/>
            <w:vAlign w:val="center"/>
          </w:tcPr>
          <w:p w14:paraId="1644C08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669A590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662" w:type="dxa"/>
            <w:vAlign w:val="center"/>
          </w:tcPr>
          <w:p w14:paraId="4A56298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878" w:type="dxa"/>
            <w:vAlign w:val="center"/>
          </w:tcPr>
          <w:p w14:paraId="6684CF0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283" w:type="dxa"/>
            <w:vAlign w:val="center"/>
          </w:tcPr>
          <w:p w14:paraId="100814D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1349" w:type="dxa"/>
            <w:vAlign w:val="center"/>
          </w:tcPr>
          <w:p w14:paraId="2114644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437" w:type="dxa"/>
            <w:vAlign w:val="center"/>
          </w:tcPr>
          <w:p w14:paraId="2656FDE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3.5</w:t>
            </w:r>
          </w:p>
        </w:tc>
        <w:tc>
          <w:tcPr>
            <w:tcW w:w="1343" w:type="dxa"/>
            <w:vAlign w:val="center"/>
          </w:tcPr>
          <w:p w14:paraId="7256B2F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3.21</w:t>
            </w:r>
          </w:p>
        </w:tc>
      </w:tr>
      <w:tr w:rsidR="008572F7" w:rsidRPr="001A74B7" w14:paraId="0BB5C263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29C386D3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Patton, 2002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D18090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2E1FEB4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1991B51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05DC48D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6EE1FBCC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6E85AFB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19B26A2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6C9E307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2.21</w:t>
            </w:r>
          </w:p>
        </w:tc>
      </w:tr>
      <w:tr w:rsidR="008572F7" w:rsidRPr="001A74B7" w14:paraId="371EA393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56EF0756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Pedersen, 2008</w:t>
            </w:r>
          </w:p>
        </w:tc>
        <w:tc>
          <w:tcPr>
            <w:tcW w:w="1350" w:type="dxa"/>
            <w:vAlign w:val="center"/>
          </w:tcPr>
          <w:p w14:paraId="2AF9510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39A52FE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112BDF5B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vAlign w:val="center"/>
          </w:tcPr>
          <w:p w14:paraId="5B24542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283" w:type="dxa"/>
            <w:vAlign w:val="center"/>
          </w:tcPr>
          <w:p w14:paraId="1BBCB7C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vAlign w:val="center"/>
          </w:tcPr>
          <w:p w14:paraId="31E2365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vAlign w:val="center"/>
          </w:tcPr>
          <w:p w14:paraId="4E4A74A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vAlign w:val="center"/>
          </w:tcPr>
          <w:p w14:paraId="196AF3FB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2.04</w:t>
            </w:r>
          </w:p>
        </w:tc>
      </w:tr>
      <w:tr w:rsidR="008572F7" w:rsidRPr="001A74B7" w14:paraId="36613221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2D760B81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Schaefer, 2021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24A42A2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48F30A24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2ED8E25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5170069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51B9804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547C2C0B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2.5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AB2779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6BA1B9C9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2.32</w:t>
            </w:r>
          </w:p>
        </w:tc>
      </w:tr>
      <w:tr w:rsidR="008572F7" w:rsidRPr="001A74B7" w14:paraId="105C2951" w14:textId="77777777" w:rsidTr="00931D58">
        <w:trPr>
          <w:trHeight w:val="288"/>
        </w:trPr>
        <w:tc>
          <w:tcPr>
            <w:tcW w:w="1530" w:type="dxa"/>
            <w:noWrap/>
            <w:hideMark/>
          </w:tcPr>
          <w:p w14:paraId="49CCFB39" w14:textId="77777777" w:rsidR="008572F7" w:rsidRPr="00D6576B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szCs w:val="24"/>
              </w:rPr>
            </w:pPr>
            <w:r w:rsidRPr="00D6576B">
              <w:rPr>
                <w:rFonts w:ascii="Times New Roman" w:eastAsia="Times New Roman" w:hAnsi="Times New Roman"/>
                <w:szCs w:val="24"/>
              </w:rPr>
              <w:t>van Laar, 2007</w:t>
            </w:r>
          </w:p>
        </w:tc>
        <w:tc>
          <w:tcPr>
            <w:tcW w:w="1350" w:type="dxa"/>
            <w:vAlign w:val="center"/>
          </w:tcPr>
          <w:p w14:paraId="57CE8E60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2A38DC7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626E3757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1.75</w:t>
            </w:r>
          </w:p>
        </w:tc>
        <w:tc>
          <w:tcPr>
            <w:tcW w:w="1878" w:type="dxa"/>
            <w:vAlign w:val="center"/>
          </w:tcPr>
          <w:p w14:paraId="394DDF5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283" w:type="dxa"/>
            <w:vAlign w:val="center"/>
          </w:tcPr>
          <w:p w14:paraId="7B7E0B88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9" w:type="dxa"/>
            <w:vAlign w:val="center"/>
          </w:tcPr>
          <w:p w14:paraId="2D8D5512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437" w:type="dxa"/>
            <w:vAlign w:val="center"/>
          </w:tcPr>
          <w:p w14:paraId="2205665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1343" w:type="dxa"/>
            <w:vAlign w:val="center"/>
          </w:tcPr>
          <w:p w14:paraId="4433C01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1.82</w:t>
            </w:r>
          </w:p>
        </w:tc>
      </w:tr>
      <w:tr w:rsidR="008572F7" w:rsidRPr="001A74B7" w14:paraId="39044AF3" w14:textId="77777777" w:rsidTr="00931D58">
        <w:trPr>
          <w:trHeight w:val="288"/>
        </w:trPr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3AA9B36F" w14:textId="77777777" w:rsidR="008572F7" w:rsidRPr="001A74B7" w:rsidRDefault="008572F7" w:rsidP="00931D58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</w:pPr>
            <w:r w:rsidRPr="001A74B7">
              <w:rPr>
                <w:rFonts w:ascii="Times New Roman" w:eastAsia="Times New Roman" w:hAnsi="Times New Roman"/>
                <w:b/>
                <w:bCs/>
                <w:color w:val="000000"/>
                <w:szCs w:val="24"/>
              </w:rPr>
              <w:t>Overall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B558D35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3C16E29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2.82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54FFF833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2.18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7AE19696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2.14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3B5B056F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2.20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2DEC406D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2.32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5B706BEA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2.50</w:t>
            </w: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02E8D371" w14:textId="77777777" w:rsidR="008572F7" w:rsidRPr="0079086E" w:rsidRDefault="008572F7" w:rsidP="00931D58">
            <w:pPr>
              <w:spacing w:after="160" w:line="259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79086E">
              <w:rPr>
                <w:rFonts w:ascii="Times New Roman" w:hAnsi="Times New Roman"/>
                <w:b/>
                <w:bCs/>
                <w:color w:val="000000"/>
                <w:szCs w:val="24"/>
              </w:rPr>
              <w:t>2.17</w:t>
            </w:r>
          </w:p>
        </w:tc>
      </w:tr>
    </w:tbl>
    <w:p w14:paraId="74BC2F42" w14:textId="77777777" w:rsidR="008572F7" w:rsidRPr="00AA378F" w:rsidRDefault="008572F7" w:rsidP="008572F7">
      <w:pPr>
        <w:spacing w:after="160" w:line="259" w:lineRule="auto"/>
        <w:ind w:firstLine="0"/>
        <w:rPr>
          <w:rFonts w:ascii="Times New Roman" w:hAnsi="Times New Roman"/>
          <w:highlight w:val="yellow"/>
        </w:rPr>
        <w:sectPr w:rsidR="008572F7" w:rsidRPr="00AA378F" w:rsidSect="008572F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26DE5CB" w14:textId="77777777" w:rsidR="008572F7" w:rsidRDefault="008572F7" w:rsidP="008572F7">
      <w:pPr>
        <w:spacing w:after="160" w:line="259" w:lineRule="auto"/>
        <w:ind w:firstLine="0"/>
      </w:pPr>
    </w:p>
    <w:p w14:paraId="38EA8AB6" w14:textId="77777777" w:rsidR="002C46B1" w:rsidRDefault="002C46B1"/>
    <w:sectPr w:rsidR="002C46B1" w:rsidSect="00857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83637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7D158F75" w14:textId="77777777" w:rsidR="008572F7" w:rsidRPr="00EA7E31" w:rsidRDefault="008572F7">
        <w:pPr>
          <w:pStyle w:val="Footer"/>
          <w:jc w:val="right"/>
          <w:rPr>
            <w:rFonts w:ascii="Times New Roman" w:hAnsi="Times New Roman"/>
          </w:rPr>
        </w:pPr>
        <w:r w:rsidRPr="00EA7E31">
          <w:rPr>
            <w:rFonts w:ascii="Times New Roman" w:hAnsi="Times New Roman"/>
          </w:rPr>
          <w:fldChar w:fldCharType="begin"/>
        </w:r>
        <w:r w:rsidRPr="00EA7E31">
          <w:rPr>
            <w:rFonts w:ascii="Times New Roman" w:hAnsi="Times New Roman"/>
          </w:rPr>
          <w:instrText xml:space="preserve"> PAGE   \* MERGEFORMAT </w:instrText>
        </w:r>
        <w:r w:rsidRPr="00EA7E31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151</w:t>
        </w:r>
        <w:r w:rsidRPr="00EA7E31">
          <w:rPr>
            <w:rFonts w:ascii="Times New Roman" w:hAnsi="Times New Roman"/>
            <w:noProof/>
          </w:rPr>
          <w:fldChar w:fldCharType="end"/>
        </w:r>
      </w:p>
    </w:sdtContent>
  </w:sdt>
  <w:p w14:paraId="3F2D7F4E" w14:textId="77777777" w:rsidR="008572F7" w:rsidRDefault="008572F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033"/>
    <w:multiLevelType w:val="hybridMultilevel"/>
    <w:tmpl w:val="BEF071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65AA2"/>
    <w:multiLevelType w:val="multilevel"/>
    <w:tmpl w:val="73CE0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9E5E9D"/>
    <w:multiLevelType w:val="hybridMultilevel"/>
    <w:tmpl w:val="DF869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F0C28"/>
    <w:multiLevelType w:val="hybridMultilevel"/>
    <w:tmpl w:val="2CA40E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31344"/>
    <w:multiLevelType w:val="hybridMultilevel"/>
    <w:tmpl w:val="7ED2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23906"/>
    <w:multiLevelType w:val="multilevel"/>
    <w:tmpl w:val="DABE2FF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243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859218E"/>
    <w:multiLevelType w:val="hybridMultilevel"/>
    <w:tmpl w:val="B7FCF882"/>
    <w:lvl w:ilvl="0" w:tplc="9C9EFC5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ED0DE7"/>
    <w:multiLevelType w:val="hybridMultilevel"/>
    <w:tmpl w:val="AAE81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A705A"/>
    <w:multiLevelType w:val="hybridMultilevel"/>
    <w:tmpl w:val="E5D26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3B58CF"/>
    <w:multiLevelType w:val="hybridMultilevel"/>
    <w:tmpl w:val="712E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A2501"/>
    <w:multiLevelType w:val="hybridMultilevel"/>
    <w:tmpl w:val="4B7E862C"/>
    <w:lvl w:ilvl="0" w:tplc="ADDC74DA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80774D"/>
    <w:multiLevelType w:val="hybridMultilevel"/>
    <w:tmpl w:val="0CC09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F1BAD"/>
    <w:multiLevelType w:val="hybridMultilevel"/>
    <w:tmpl w:val="CDCCA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DF540D"/>
    <w:multiLevelType w:val="hybridMultilevel"/>
    <w:tmpl w:val="6BC84D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3429C"/>
    <w:multiLevelType w:val="hybridMultilevel"/>
    <w:tmpl w:val="5B22BC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B09A7"/>
    <w:multiLevelType w:val="hybridMultilevel"/>
    <w:tmpl w:val="81E84B0A"/>
    <w:lvl w:ilvl="0" w:tplc="B534031C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D32197"/>
    <w:multiLevelType w:val="hybridMultilevel"/>
    <w:tmpl w:val="1BC80EAC"/>
    <w:lvl w:ilvl="0" w:tplc="896C8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EC7086"/>
    <w:multiLevelType w:val="hybridMultilevel"/>
    <w:tmpl w:val="68002EB2"/>
    <w:lvl w:ilvl="0" w:tplc="7E006B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7E83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08AC92C">
      <w:start w:val="1"/>
      <w:numFmt w:val="lowerRoman"/>
      <w:lvlText w:val="%3."/>
      <w:lvlJc w:val="right"/>
      <w:pPr>
        <w:ind w:left="2160" w:hanging="180"/>
      </w:pPr>
    </w:lvl>
    <w:lvl w:ilvl="3" w:tplc="135CFA2C" w:tentative="1">
      <w:start w:val="1"/>
      <w:numFmt w:val="decimal"/>
      <w:lvlText w:val="%4."/>
      <w:lvlJc w:val="left"/>
      <w:pPr>
        <w:ind w:left="2880" w:hanging="360"/>
      </w:pPr>
    </w:lvl>
    <w:lvl w:ilvl="4" w:tplc="32682176" w:tentative="1">
      <w:start w:val="1"/>
      <w:numFmt w:val="lowerLetter"/>
      <w:lvlText w:val="%5."/>
      <w:lvlJc w:val="left"/>
      <w:pPr>
        <w:ind w:left="3600" w:hanging="360"/>
      </w:pPr>
    </w:lvl>
    <w:lvl w:ilvl="5" w:tplc="18F00D84" w:tentative="1">
      <w:start w:val="1"/>
      <w:numFmt w:val="lowerRoman"/>
      <w:lvlText w:val="%6."/>
      <w:lvlJc w:val="right"/>
      <w:pPr>
        <w:ind w:left="4320" w:hanging="180"/>
      </w:pPr>
    </w:lvl>
    <w:lvl w:ilvl="6" w:tplc="023AB608" w:tentative="1">
      <w:start w:val="1"/>
      <w:numFmt w:val="decimal"/>
      <w:lvlText w:val="%7."/>
      <w:lvlJc w:val="left"/>
      <w:pPr>
        <w:ind w:left="5040" w:hanging="360"/>
      </w:pPr>
    </w:lvl>
    <w:lvl w:ilvl="7" w:tplc="BFE66AD6" w:tentative="1">
      <w:start w:val="1"/>
      <w:numFmt w:val="lowerLetter"/>
      <w:lvlText w:val="%8."/>
      <w:lvlJc w:val="left"/>
      <w:pPr>
        <w:ind w:left="5760" w:hanging="360"/>
      </w:pPr>
    </w:lvl>
    <w:lvl w:ilvl="8" w:tplc="07AE1B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31ABC"/>
    <w:multiLevelType w:val="hybridMultilevel"/>
    <w:tmpl w:val="0602DA6E"/>
    <w:lvl w:ilvl="0" w:tplc="607E1EF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51F10"/>
    <w:multiLevelType w:val="hybridMultilevel"/>
    <w:tmpl w:val="81E84B0A"/>
    <w:lvl w:ilvl="0" w:tplc="B534031C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72529E"/>
    <w:multiLevelType w:val="hybridMultilevel"/>
    <w:tmpl w:val="71AE84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8208D"/>
    <w:multiLevelType w:val="hybridMultilevel"/>
    <w:tmpl w:val="0E0074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130EB7"/>
    <w:multiLevelType w:val="hybridMultilevel"/>
    <w:tmpl w:val="4CE2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847786">
    <w:abstractNumId w:val="5"/>
  </w:num>
  <w:num w:numId="2" w16cid:durableId="1639070197">
    <w:abstractNumId w:val="13"/>
  </w:num>
  <w:num w:numId="3" w16cid:durableId="1690257472">
    <w:abstractNumId w:val="20"/>
  </w:num>
  <w:num w:numId="4" w16cid:durableId="1489587617">
    <w:abstractNumId w:val="19"/>
  </w:num>
  <w:num w:numId="5" w16cid:durableId="294483096">
    <w:abstractNumId w:val="10"/>
  </w:num>
  <w:num w:numId="6" w16cid:durableId="2039238500">
    <w:abstractNumId w:val="21"/>
  </w:num>
  <w:num w:numId="7" w16cid:durableId="2116972621">
    <w:abstractNumId w:val="8"/>
  </w:num>
  <w:num w:numId="8" w16cid:durableId="484862004">
    <w:abstractNumId w:val="12"/>
  </w:num>
  <w:num w:numId="9" w16cid:durableId="1612125958">
    <w:abstractNumId w:val="0"/>
  </w:num>
  <w:num w:numId="10" w16cid:durableId="1141578810">
    <w:abstractNumId w:val="11"/>
  </w:num>
  <w:num w:numId="11" w16cid:durableId="1409352486">
    <w:abstractNumId w:val="9"/>
  </w:num>
  <w:num w:numId="12" w16cid:durableId="1081483050">
    <w:abstractNumId w:val="7"/>
  </w:num>
  <w:num w:numId="13" w16cid:durableId="1002439295">
    <w:abstractNumId w:val="3"/>
  </w:num>
  <w:num w:numId="14" w16cid:durableId="521944099">
    <w:abstractNumId w:val="16"/>
  </w:num>
  <w:num w:numId="15" w16cid:durableId="2084834110">
    <w:abstractNumId w:val="15"/>
  </w:num>
  <w:num w:numId="16" w16cid:durableId="1395813805">
    <w:abstractNumId w:val="4"/>
  </w:num>
  <w:num w:numId="17" w16cid:durableId="862136144">
    <w:abstractNumId w:val="2"/>
  </w:num>
  <w:num w:numId="18" w16cid:durableId="959266738">
    <w:abstractNumId w:val="17"/>
  </w:num>
  <w:num w:numId="19" w16cid:durableId="1339969747">
    <w:abstractNumId w:val="1"/>
  </w:num>
  <w:num w:numId="20" w16cid:durableId="12360154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62542389">
    <w:abstractNumId w:val="18"/>
  </w:num>
  <w:num w:numId="22" w16cid:durableId="631518045">
    <w:abstractNumId w:val="6"/>
  </w:num>
  <w:num w:numId="23" w16cid:durableId="333261583">
    <w:abstractNumId w:val="14"/>
  </w:num>
  <w:num w:numId="24" w16cid:durableId="12962521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F7"/>
    <w:rsid w:val="002C46B1"/>
    <w:rsid w:val="00527F1E"/>
    <w:rsid w:val="0055498E"/>
    <w:rsid w:val="008572F7"/>
    <w:rsid w:val="00B54689"/>
    <w:rsid w:val="00CA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DB2BA3"/>
  <w15:docId w15:val="{59E0851B-96C2-4F10-8424-FE94255D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F7"/>
    <w:pPr>
      <w:spacing w:after="0" w:line="480" w:lineRule="auto"/>
      <w:ind w:firstLine="720"/>
    </w:pPr>
    <w:rPr>
      <w:rFonts w:ascii="Calibri" w:eastAsia="Calibri" w:hAnsi="Calibri" w:cs="Times New Roman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72F7"/>
    <w:pPr>
      <w:keepNext/>
      <w:keepLines/>
      <w:numPr>
        <w:numId w:val="1"/>
      </w:numPr>
      <w:spacing w:before="120" w:after="120"/>
      <w:jc w:val="center"/>
      <w:outlineLvl w:val="0"/>
    </w:pPr>
    <w:rPr>
      <w:rFonts w:eastAsia="Times New Roman"/>
      <w:b/>
      <w:bCs/>
      <w:cap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72F7"/>
    <w:pPr>
      <w:keepNext/>
      <w:keepLines/>
      <w:numPr>
        <w:ilvl w:val="1"/>
        <w:numId w:val="1"/>
      </w:numPr>
      <w:spacing w:before="120"/>
      <w:outlineLvl w:val="1"/>
    </w:pPr>
    <w:rPr>
      <w:rFonts w:eastAsia="Times New Roman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72F7"/>
    <w:pPr>
      <w:keepNext/>
      <w:keepLines/>
      <w:numPr>
        <w:ilvl w:val="2"/>
        <w:numId w:val="1"/>
      </w:numPr>
      <w:spacing w:before="120"/>
      <w:ind w:left="720"/>
      <w:outlineLvl w:val="2"/>
    </w:pPr>
    <w:rPr>
      <w:rFonts w:eastAsia="Times New Roman" w:cstheme="minorHAnsi"/>
      <w:b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72F7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72F7"/>
    <w:pPr>
      <w:keepNext/>
      <w:keepLines/>
      <w:numPr>
        <w:ilvl w:val="4"/>
        <w:numId w:val="1"/>
      </w:numPr>
      <w:spacing w:before="120"/>
      <w:outlineLvl w:val="4"/>
    </w:pPr>
    <w:rPr>
      <w:rFonts w:eastAsia="Times New Roma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72F7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6E6E6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572F7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2F7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2F7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2F7"/>
    <w:rPr>
      <w:rFonts w:ascii="Calibri" w:eastAsia="Times New Roman" w:hAnsi="Calibri" w:cs="Times New Roman"/>
      <w:b/>
      <w:bCs/>
      <w:caps/>
      <w:kern w:val="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572F7"/>
    <w:rPr>
      <w:rFonts w:ascii="Calibri" w:eastAsia="Times New Roman" w:hAnsi="Calibri" w:cs="Times New Roman"/>
      <w:b/>
      <w:bCs/>
      <w:kern w:val="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72F7"/>
    <w:rPr>
      <w:rFonts w:ascii="Calibri" w:eastAsia="Times New Roman" w:hAnsi="Calibri" w:cstheme="minorHAnsi"/>
      <w:b/>
      <w:bCs/>
      <w:i/>
      <w:kern w:val="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572F7"/>
    <w:rPr>
      <w:rFonts w:ascii="Calibri" w:eastAsia="Calibri" w:hAnsi="Calibri" w:cs="Times New Roman"/>
      <w:b/>
      <w:kern w:val="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572F7"/>
    <w:rPr>
      <w:rFonts w:ascii="Calibri" w:eastAsia="Times New Roman" w:hAnsi="Calibri" w:cs="Times New Roman"/>
      <w:kern w:val="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572F7"/>
    <w:rPr>
      <w:rFonts w:ascii="Cambria" w:eastAsia="Times New Roman" w:hAnsi="Cambria" w:cs="Times New Roman"/>
      <w:i/>
      <w:iCs/>
      <w:color w:val="6E6E6E"/>
      <w:kern w:val="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572F7"/>
    <w:rPr>
      <w:rFonts w:ascii="Cambria" w:eastAsia="Times New Roman" w:hAnsi="Cambria" w:cs="Times New Roman"/>
      <w:i/>
      <w:iCs/>
      <w:color w:val="404040"/>
      <w:kern w:val="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2F7"/>
    <w:rPr>
      <w:rFonts w:ascii="Cambria" w:eastAsia="Times New Roman" w:hAnsi="Cambria" w:cs="Times New Roman"/>
      <w:color w:val="404040"/>
      <w:kern w:val="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2F7"/>
    <w:rPr>
      <w:rFonts w:ascii="Cambria" w:eastAsia="Times New Roman" w:hAnsi="Cambria" w:cs="Times New Roman"/>
      <w:i/>
      <w:iCs/>
      <w:color w:val="404040"/>
      <w:kern w:val="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572F7"/>
    <w:pPr>
      <w:spacing w:line="240" w:lineRule="auto"/>
    </w:pPr>
    <w:rPr>
      <w:bCs/>
      <w:i/>
      <w:szCs w:val="18"/>
    </w:rPr>
  </w:style>
  <w:style w:type="paragraph" w:styleId="ListParagraph">
    <w:name w:val="List Paragraph"/>
    <w:basedOn w:val="Normal"/>
    <w:uiPriority w:val="34"/>
    <w:qFormat/>
    <w:rsid w:val="008572F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572F7"/>
    <w:pPr>
      <w:spacing w:line="240" w:lineRule="auto"/>
      <w:ind w:firstLine="0"/>
      <w:contextualSpacing/>
    </w:pPr>
    <w:rPr>
      <w:rFonts w:ascii="Arial" w:eastAsiaTheme="majorEastAsia" w:hAnsi="Arial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2F7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857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72F7"/>
    <w:pPr>
      <w:spacing w:after="160" w:line="240" w:lineRule="auto"/>
      <w:ind w:firstLine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72F7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2F7"/>
    <w:rPr>
      <w:b/>
      <w:bCs/>
      <w:kern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2F7"/>
    <w:pPr>
      <w:spacing w:line="240" w:lineRule="auto"/>
      <w:ind w:firstLine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2F7"/>
    <w:rPr>
      <w:rFonts w:ascii="Segoe UI" w:hAnsi="Segoe UI" w:cs="Segoe UI"/>
      <w:kern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72F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572F7"/>
    <w:pPr>
      <w:spacing w:after="0" w:line="240" w:lineRule="auto"/>
      <w:ind w:firstLine="720"/>
    </w:pPr>
    <w:rPr>
      <w:rFonts w:ascii="Times New Roman" w:eastAsia="Calibri" w:hAnsi="Times New Roman" w:cs="Times New Roman"/>
      <w:kern w:val="0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572F7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572F7"/>
    <w:pPr>
      <w:tabs>
        <w:tab w:val="left" w:pos="1100"/>
        <w:tab w:val="right" w:leader="dot" w:pos="9350"/>
      </w:tabs>
      <w:spacing w:after="100"/>
    </w:pPr>
    <w:rPr>
      <w:rFonts w:ascii="Times New Roman" w:hAnsi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8572F7"/>
    <w:pPr>
      <w:tabs>
        <w:tab w:val="left" w:pos="1540"/>
        <w:tab w:val="right" w:leader="dot" w:pos="9350"/>
      </w:tabs>
      <w:spacing w:line="240" w:lineRule="auto"/>
      <w:ind w:left="245"/>
    </w:pPr>
  </w:style>
  <w:style w:type="paragraph" w:styleId="TOC3">
    <w:name w:val="toc 3"/>
    <w:basedOn w:val="Normal"/>
    <w:next w:val="Normal"/>
    <w:autoRedefine/>
    <w:uiPriority w:val="39"/>
    <w:unhideWhenUsed/>
    <w:rsid w:val="008572F7"/>
    <w:pPr>
      <w:tabs>
        <w:tab w:val="left" w:pos="1906"/>
        <w:tab w:val="right" w:leader="dot" w:pos="9350"/>
      </w:tabs>
      <w:spacing w:after="100" w:line="240" w:lineRule="auto"/>
      <w:ind w:left="480"/>
    </w:pPr>
  </w:style>
  <w:style w:type="paragraph" w:styleId="Header">
    <w:name w:val="header"/>
    <w:basedOn w:val="Normal"/>
    <w:link w:val="HeaderChar"/>
    <w:uiPriority w:val="99"/>
    <w:unhideWhenUsed/>
    <w:rsid w:val="008572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2F7"/>
    <w:rPr>
      <w:rFonts w:ascii="Calibri" w:eastAsia="Calibri" w:hAnsi="Calibri" w:cs="Times New Roman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8572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2F7"/>
    <w:rPr>
      <w:rFonts w:ascii="Calibri" w:eastAsia="Calibri" w:hAnsi="Calibri" w:cs="Times New Roman"/>
      <w:kern w:val="0"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8572F7"/>
    <w:pPr>
      <w:ind w:left="720" w:hanging="720"/>
    </w:pPr>
  </w:style>
  <w:style w:type="paragraph" w:styleId="Bibliography">
    <w:name w:val="Bibliography"/>
    <w:basedOn w:val="Normal"/>
    <w:next w:val="Normal"/>
    <w:uiPriority w:val="37"/>
    <w:unhideWhenUsed/>
    <w:rsid w:val="008572F7"/>
    <w:pPr>
      <w:tabs>
        <w:tab w:val="left" w:pos="504"/>
      </w:tabs>
      <w:spacing w:after="240" w:line="240" w:lineRule="auto"/>
      <w:ind w:left="504" w:hanging="504"/>
    </w:pPr>
  </w:style>
  <w:style w:type="paragraph" w:customStyle="1" w:styleId="MDPI31text">
    <w:name w:val="MDPI_3.1_text"/>
    <w:qFormat/>
    <w:rsid w:val="008572F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Revision">
    <w:name w:val="Revision"/>
    <w:hidden/>
    <w:uiPriority w:val="99"/>
    <w:semiHidden/>
    <w:rsid w:val="008572F7"/>
    <w:pPr>
      <w:spacing w:after="0" w:line="240" w:lineRule="auto"/>
    </w:pPr>
    <w:rPr>
      <w:kern w:val="0"/>
    </w:rPr>
  </w:style>
  <w:style w:type="table" w:styleId="TableGrid">
    <w:name w:val="Table Grid"/>
    <w:basedOn w:val="TableNormal"/>
    <w:uiPriority w:val="39"/>
    <w:rsid w:val="008572F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8572F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Cs w:val="24"/>
    </w:rPr>
  </w:style>
  <w:style w:type="character" w:customStyle="1" w:styleId="cf01">
    <w:name w:val="cf01"/>
    <w:basedOn w:val="DefaultParagraphFont"/>
    <w:rsid w:val="008572F7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72F7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8572F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572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572F7"/>
    <w:pPr>
      <w:spacing w:after="160" w:line="259" w:lineRule="auto"/>
      <w:ind w:firstLine="0"/>
    </w:pPr>
    <w:rPr>
      <w:rFonts w:ascii="Times New Roman" w:eastAsiaTheme="minorHAnsi" w:hAnsi="Times New Roman"/>
      <w:szCs w:val="24"/>
    </w:rPr>
  </w:style>
  <w:style w:type="character" w:styleId="Emphasis">
    <w:name w:val="Emphasis"/>
    <w:basedOn w:val="DefaultParagraphFont"/>
    <w:uiPriority w:val="20"/>
    <w:qFormat/>
    <w:rsid w:val="008572F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572F7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72F7"/>
    <w:rPr>
      <w:color w:val="605E5C"/>
      <w:shd w:val="clear" w:color="auto" w:fill="E1DFDD"/>
    </w:rPr>
  </w:style>
  <w:style w:type="paragraph" w:customStyle="1" w:styleId="speakable">
    <w:name w:val="speakable"/>
    <w:basedOn w:val="Normal"/>
    <w:rsid w:val="008572F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8572F7"/>
  </w:style>
  <w:style w:type="character" w:customStyle="1" w:styleId="marktop3b398h">
    <w:name w:val="marktop3b398h"/>
    <w:basedOn w:val="DefaultParagraphFont"/>
    <w:rsid w:val="008572F7"/>
  </w:style>
  <w:style w:type="paragraph" w:customStyle="1" w:styleId="xxxmsonormal">
    <w:name w:val="x_x_xmsonormal"/>
    <w:basedOn w:val="Normal"/>
    <w:rsid w:val="008572F7"/>
    <w:pPr>
      <w:spacing w:line="240" w:lineRule="auto"/>
      <w:ind w:firstLine="0"/>
    </w:pPr>
    <w:rPr>
      <w:rFonts w:eastAsiaTheme="minorHAnsi" w:cs="Calibri"/>
      <w:sz w:val="22"/>
    </w:rPr>
  </w:style>
  <w:style w:type="paragraph" w:customStyle="1" w:styleId="APA3">
    <w:name w:val="APA 3"/>
    <w:link w:val="APA3Char"/>
    <w:qFormat/>
    <w:rsid w:val="008572F7"/>
    <w:rPr>
      <w:rFonts w:ascii="Times New Roman" w:eastAsia="Times New Roman" w:hAnsi="Times New Roman" w:cstheme="minorHAnsi"/>
      <w:b/>
      <w:bCs/>
      <w:i/>
      <w:kern w:val="0"/>
      <w:sz w:val="24"/>
    </w:rPr>
  </w:style>
  <w:style w:type="paragraph" w:customStyle="1" w:styleId="APA2">
    <w:name w:val="APA 2"/>
    <w:basedOn w:val="APA3"/>
    <w:link w:val="APA2Char"/>
    <w:qFormat/>
    <w:rsid w:val="008572F7"/>
    <w:rPr>
      <w:i w:val="0"/>
    </w:rPr>
  </w:style>
  <w:style w:type="character" w:customStyle="1" w:styleId="APA3Char">
    <w:name w:val="APA 3 Char"/>
    <w:basedOn w:val="DefaultParagraphFont"/>
    <w:link w:val="APA3"/>
    <w:rsid w:val="008572F7"/>
    <w:rPr>
      <w:rFonts w:ascii="Times New Roman" w:eastAsia="Times New Roman" w:hAnsi="Times New Roman" w:cstheme="minorHAnsi"/>
      <w:b/>
      <w:bCs/>
      <w:i/>
      <w:kern w:val="0"/>
      <w:sz w:val="24"/>
    </w:rPr>
  </w:style>
  <w:style w:type="paragraph" w:customStyle="1" w:styleId="APA1">
    <w:name w:val="APA 1"/>
    <w:basedOn w:val="APA2"/>
    <w:link w:val="APA1Char"/>
    <w:qFormat/>
    <w:rsid w:val="008572F7"/>
    <w:pPr>
      <w:jc w:val="center"/>
    </w:pPr>
  </w:style>
  <w:style w:type="character" w:customStyle="1" w:styleId="APA2Char">
    <w:name w:val="APA 2 Char"/>
    <w:basedOn w:val="APA3Char"/>
    <w:link w:val="APA2"/>
    <w:rsid w:val="008572F7"/>
    <w:rPr>
      <w:rFonts w:ascii="Times New Roman" w:eastAsia="Times New Roman" w:hAnsi="Times New Roman" w:cstheme="minorHAnsi"/>
      <w:b/>
      <w:bCs/>
      <w:i w:val="0"/>
      <w:kern w:val="0"/>
      <w:sz w:val="24"/>
    </w:rPr>
  </w:style>
  <w:style w:type="character" w:customStyle="1" w:styleId="APA1Char">
    <w:name w:val="APA 1 Char"/>
    <w:basedOn w:val="APA2Char"/>
    <w:link w:val="APA1"/>
    <w:rsid w:val="008572F7"/>
    <w:rPr>
      <w:rFonts w:ascii="Times New Roman" w:eastAsia="Times New Roman" w:hAnsi="Times New Roman" w:cstheme="minorHAnsi"/>
      <w:b/>
      <w:bCs/>
      <w:i w:val="0"/>
      <w:kern w:val="0"/>
      <w:sz w:val="24"/>
    </w:rPr>
  </w:style>
  <w:style w:type="paragraph" w:customStyle="1" w:styleId="Default">
    <w:name w:val="Default"/>
    <w:rsid w:val="008572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  <w:style w:type="paragraph" w:customStyle="1" w:styleId="Style1">
    <w:name w:val="Style1"/>
    <w:basedOn w:val="Heading2"/>
    <w:link w:val="Style1Char"/>
    <w:qFormat/>
    <w:rsid w:val="008572F7"/>
    <w:pPr>
      <w:numPr>
        <w:ilvl w:val="0"/>
        <w:numId w:val="0"/>
      </w:numPr>
      <w:ind w:left="576" w:hanging="576"/>
    </w:pPr>
    <w:rPr>
      <w:rFonts w:ascii="Times New Roman" w:hAnsi="Times New Roman"/>
    </w:rPr>
  </w:style>
  <w:style w:type="character" w:customStyle="1" w:styleId="Style1Char">
    <w:name w:val="Style1 Char"/>
    <w:basedOn w:val="Heading2Char"/>
    <w:link w:val="Style1"/>
    <w:rsid w:val="008572F7"/>
    <w:rPr>
      <w:rFonts w:ascii="Times New Roman" w:eastAsia="Times New Roman" w:hAnsi="Times New Roman" w:cs="Times New Roman"/>
      <w:b/>
      <w:bCs/>
      <w:kern w:val="0"/>
      <w:sz w:val="24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5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4868</Words>
  <Characters>28821</Characters>
  <Application>Microsoft Office Word</Application>
  <DocSecurity>0</DocSecurity>
  <Lines>2058</Lines>
  <Paragraphs>1203</Paragraphs>
  <ScaleCrop>false</ScaleCrop>
  <Company/>
  <LinksUpToDate>false</LinksUpToDate>
  <CharactersWithSpaces>32486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Churchill, Victoria</dc:creator>
  <cp:keywords/>
  <dc:description/>
  <cp:lastModifiedBy>Churchill, Victoria</cp:lastModifiedBy>
  <cp:revision>1</cp:revision>
  <dcterms:created xsi:type="dcterms:W3CDTF">2024-03-21T17:32:00Z</dcterms:created>
  <dcterms:modified xsi:type="dcterms:W3CDTF">2024-03-21T17:34:00Z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bab5d524-2be5-4d4a-9552-e220e7dc77b2</vt:lpwstr>
  </property>
</Properties>
</file>