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A4229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  <w:r>
        <w:rPr>
          <w:rFonts w:ascii="Times New Roman" w:eastAsia="宋体" w:hAnsi="Times New Roman" w:cs="Times New Roman"/>
          <w:b/>
          <w:bCs/>
          <w:sz w:val="24"/>
          <w:lang w:bidi="ar"/>
        </w:rPr>
        <w:t>Supplementary materials</w:t>
      </w: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  <w:r>
        <w:rPr>
          <w:rFonts w:ascii="Times New Roman" w:eastAsia="宋体" w:hAnsi="Times New Roman" w:cs="Times New Roman"/>
          <w:b/>
          <w:bCs/>
          <w:sz w:val="24"/>
          <w:lang w:bidi="ar"/>
        </w:rPr>
        <w:t>Supplementary Figure 1</w:t>
      </w:r>
    </w:p>
    <w:p w:rsidR="00CA4229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lang w:bidi="ar"/>
        </w:rPr>
      </w:pPr>
      <w:r>
        <w:rPr>
          <w:noProof/>
          <w:color w:val="4874CB" w:themeColor="accent1"/>
        </w:rPr>
        <w:drawing>
          <wp:inline distT="0" distB="0" distL="114300" distR="114300">
            <wp:extent cx="5245100" cy="3744595"/>
            <wp:effectExtent l="0" t="0" r="3175" b="8255"/>
            <wp:docPr id="2" name="图片 2" descr="体重和肝肾切片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体重和肝肾切片_画板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>Supplementary Figure 1 HU-308 does not affect mouse body weight or liver and kidney histology.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(A) Changes in body weight of mice in different groups during the treatment period with HU-308. The graph shows the average body weight</w:t>
      </w:r>
      <w:r>
        <w:rPr>
          <w:rFonts w:ascii="Times New Roman" w:eastAsia="宋体" w:hAnsi="Times New Roman" w:cs="Times New Roman" w:hint="eastAsia"/>
          <w:sz w:val="24"/>
          <w:lang w:bidi="ar"/>
        </w:rPr>
        <w:t>±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SEM for each group over the treatment course, indicating no significant weight loss or gain in any of the groups treated with HU-308 compared to not treated. (B) Hematoxylin and eosin (H&amp;E) staining of liver and kidney sections from mice at the end of the HU-308 treatment. Images show representative histology from each group. </w:t>
      </w: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  <w:r>
        <w:rPr>
          <w:rFonts w:ascii="Times New Roman" w:eastAsia="宋体" w:hAnsi="Times New Roman" w:cs="Times New Roman"/>
          <w:b/>
          <w:bCs/>
          <w:sz w:val="24"/>
          <w:lang w:bidi="ar"/>
        </w:rPr>
        <w:lastRenderedPageBreak/>
        <w:t>Supplementary Figure 2</w:t>
      </w: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sz w:val="24"/>
          <w:lang w:bidi="ar"/>
        </w:rPr>
        <w:drawing>
          <wp:inline distT="0" distB="0" distL="114300" distR="114300">
            <wp:extent cx="5481320" cy="4768215"/>
            <wp:effectExtent l="0" t="0" r="5080" b="3810"/>
            <wp:docPr id="4" name="图片 4" descr="fig s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1_画板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476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>Supplemental Figure 2 CB2 agonist HU-308 modulates the distribution of immune cell populations in mice with adjuvant-induced arthritis (AIA).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(A) Flow cytometry gating strategy for immune cells isolated from the spleen. (B) Summary plot showing frequencies of CD19+, CD8+ CD3+, CD4+ CD3+ and activated CD4+ T cells (CD4+ CD44+ CD62l- ) in the spleen of mice in each group (n=6). Data shown are representative of there independent experiments with similar results. Data are represented as the mean </w:t>
      </w:r>
      <w:r>
        <w:rPr>
          <w:rFonts w:ascii="Times New Roman" w:eastAsia="宋体" w:hAnsi="Times New Roman" w:cs="Times New Roman" w:hint="eastAsia"/>
          <w:sz w:val="24"/>
          <w:lang w:bidi="ar"/>
        </w:rPr>
        <w:t>±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SD. *p&lt;0.05 and **p&lt;0.01 by 2-tailed Student</w:t>
      </w:r>
      <w:r>
        <w:rPr>
          <w:rFonts w:ascii="Times New Roman" w:eastAsia="宋体" w:hAnsi="Times New Roman" w:cs="Times New Roman" w:hint="eastAsia"/>
          <w:sz w:val="24"/>
          <w:lang w:bidi="ar"/>
        </w:rPr>
        <w:t>’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s t test. NS, not significant. </w:t>
      </w: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sz w:val="24"/>
          <w:lang w:bidi="ar"/>
        </w:rPr>
      </w:pPr>
    </w:p>
    <w:p w:rsidR="00833C47" w:rsidRDefault="00833C47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lang w:bidi="ar"/>
        </w:rPr>
      </w:pPr>
      <w:r>
        <w:rPr>
          <w:rFonts w:ascii="Times New Roman" w:eastAsia="宋体" w:hAnsi="Times New Roman" w:cs="Times New Roman"/>
          <w:b/>
          <w:bCs/>
          <w:sz w:val="24"/>
          <w:lang w:bidi="ar"/>
        </w:rPr>
        <w:lastRenderedPageBreak/>
        <w:t xml:space="preserve">Supplementary Figure </w:t>
      </w: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t>3</w:t>
      </w: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sz w:val="24"/>
          <w:lang w:bidi="ar"/>
        </w:rPr>
      </w:pPr>
      <w:r>
        <w:rPr>
          <w:rFonts w:ascii="Times New Roman" w:eastAsia="宋体" w:hAnsi="Times New Roman" w:cs="Times New Roman" w:hint="eastAsia"/>
          <w:noProof/>
          <w:sz w:val="24"/>
          <w:lang w:bidi="ar"/>
        </w:rPr>
        <w:drawing>
          <wp:inline distT="0" distB="0" distL="114300" distR="114300">
            <wp:extent cx="5481320" cy="1797685"/>
            <wp:effectExtent l="0" t="0" r="5080" b="2540"/>
            <wp:docPr id="3" name="图片 3" descr="fig s2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2_画板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Figure </w:t>
      </w:r>
      <w:r w:rsidR="00833C47"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HU-308 had no impact on Treg cell function.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i/>
          <w:iCs/>
          <w:sz w:val="24"/>
        </w:rPr>
        <w:t xml:space="preserve"> In vitro</w:t>
      </w:r>
      <w:r>
        <w:rPr>
          <w:rFonts w:ascii="Times New Roman" w:hAnsi="Times New Roman" w:cs="Times New Roman"/>
          <w:sz w:val="24"/>
        </w:rPr>
        <w:t xml:space="preserve"> suppression assay </w:t>
      </w:r>
      <w:bookmarkStart w:id="0" w:name="OLE_LINK62"/>
      <w:r>
        <w:rPr>
          <w:rFonts w:ascii="Times New Roman" w:hAnsi="Times New Roman" w:cs="Times New Roman" w:hint="eastAsia"/>
          <w:sz w:val="24"/>
        </w:rPr>
        <w:t>was conducted on mouse nTreg cells, with or without HU-308 stimulation.  Mouse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n</w:t>
      </w:r>
      <w:r>
        <w:rPr>
          <w:rFonts w:ascii="Times New Roman" w:hAnsi="Times New Roman" w:cs="Times New Roman"/>
          <w:sz w:val="24"/>
        </w:rPr>
        <w:t>Treg and CD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</w:rPr>
        <w:t xml:space="preserve"> 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effector </w:t>
      </w:r>
      <w:r>
        <w:rPr>
          <w:rFonts w:ascii="Times New Roman" w:hAnsi="Times New Roman" w:cs="Times New Roman"/>
          <w:sz w:val="24"/>
        </w:rPr>
        <w:t xml:space="preserve">cells (responder) were cocultured for 84h </w:t>
      </w:r>
      <w:r>
        <w:rPr>
          <w:rFonts w:ascii="Times New Roman" w:hAnsi="Times New Roman" w:cs="Times New Roman" w:hint="eastAsia"/>
          <w:sz w:val="24"/>
        </w:rPr>
        <w:t xml:space="preserve">at varying ratios </w:t>
      </w:r>
      <w:r>
        <w:rPr>
          <w:rFonts w:ascii="Times New Roman" w:hAnsi="Times New Roman" w:cs="Times New Roman"/>
          <w:sz w:val="24"/>
        </w:rPr>
        <w:t>1:1, 1:2, 1:4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1:8 or</w:t>
      </w:r>
      <w:r>
        <w:rPr>
          <w:rFonts w:ascii="Times New Roman" w:hAnsi="Times New Roman" w:cs="Times New Roman" w:hint="eastAsia"/>
          <w:sz w:val="24"/>
        </w:rPr>
        <w:t xml:space="preserve"> 1:16) using anti-CD3/CD28 beads for activation. Proliferation of responder cells was tracked via CTV dye dilution</w:t>
      </w:r>
      <w:r>
        <w:rPr>
          <w:rFonts w:ascii="Times New Roman" w:hAnsi="Times New Roman" w:cs="Times New Roman"/>
          <w:sz w:val="24"/>
        </w:rPr>
        <w:t>.</w:t>
      </w:r>
      <w:bookmarkEnd w:id="0"/>
      <w:r>
        <w:rPr>
          <w:rFonts w:ascii="Times New Roman" w:hAnsi="Times New Roman" w:cs="Times New Roman" w:hint="eastAsia"/>
          <w:sz w:val="24"/>
        </w:rPr>
        <w:t xml:space="preserve"> (B) Proportion of CD4</w:t>
      </w:r>
      <w:r>
        <w:rPr>
          <w:rFonts w:ascii="Times New Roman" w:hAnsi="Times New Roman" w:cs="Times New Roman" w:hint="eastAsia"/>
          <w:sz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</w:rPr>
        <w:t xml:space="preserve"> T effector cell proliferation suppressed by nTreg cells. </w:t>
      </w:r>
      <w:r>
        <w:rPr>
          <w:rFonts w:ascii="Times New Roman" w:hAnsi="Times New Roman" w:cs="Times New Roman"/>
          <w:sz w:val="24"/>
        </w:rPr>
        <w:t xml:space="preserve">Data </w:t>
      </w:r>
      <w:r>
        <w:rPr>
          <w:rFonts w:ascii="Times New Roman" w:hAnsi="Times New Roman" w:cs="Times New Roman" w:hint="eastAsia"/>
          <w:sz w:val="24"/>
        </w:rPr>
        <w:t xml:space="preserve">shown </w:t>
      </w:r>
      <w:r>
        <w:rPr>
          <w:rFonts w:ascii="Times New Roman" w:hAnsi="Times New Roman" w:cs="Times New Roman"/>
          <w:sz w:val="24"/>
        </w:rPr>
        <w:t xml:space="preserve">are representative of </w:t>
      </w:r>
      <w:r>
        <w:rPr>
          <w:rFonts w:ascii="Times New Roman" w:hAnsi="Times New Roman" w:cs="Times New Roman" w:hint="eastAsia"/>
          <w:sz w:val="24"/>
        </w:rPr>
        <w:t>there</w:t>
      </w:r>
      <w:r>
        <w:rPr>
          <w:rFonts w:ascii="Times New Roman" w:hAnsi="Times New Roman" w:cs="Times New Roman"/>
          <w:sz w:val="24"/>
        </w:rPr>
        <w:t xml:space="preserve"> independent experiments</w:t>
      </w:r>
      <w:r>
        <w:rPr>
          <w:rFonts w:ascii="Times New Roman" w:hAnsi="Times New Roman" w:cs="Times New Roman" w:hint="eastAsia"/>
          <w:sz w:val="24"/>
        </w:rPr>
        <w:t xml:space="preserve"> with similar results</w:t>
      </w:r>
      <w:r>
        <w:rPr>
          <w:rFonts w:ascii="Times New Roman" w:hAnsi="Times New Roman" w:cs="Times New Roman"/>
          <w:sz w:val="24"/>
        </w:rPr>
        <w:t>. Data are represented as the mean ± SD. The significances were measured by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2-tailed Student’s t test. NS, not significant. </w:t>
      </w: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lastRenderedPageBreak/>
        <w:t xml:space="preserve">Supplementary Table </w:t>
      </w:r>
      <w:r>
        <w:rPr>
          <w:rFonts w:ascii="Times New Roman" w:eastAsia="宋体" w:hAnsi="Times New Roman" w:cs="Times New Roman" w:hint="eastAsia"/>
          <w:b/>
          <w:sz w:val="24"/>
        </w:rPr>
        <w:t>1</w:t>
      </w:r>
      <w:r>
        <w:rPr>
          <w:rFonts w:ascii="Times New Roman" w:eastAsia="宋体" w:hAnsi="Times New Roman" w:cs="Times New Roman"/>
          <w:b/>
          <w:sz w:val="24"/>
        </w:rPr>
        <w:t xml:space="preserve">: </w:t>
      </w:r>
      <w:r>
        <w:rPr>
          <w:rFonts w:ascii="Times New Roman" w:eastAsia="宋体" w:hAnsi="Times New Roman" w:cs="Times New Roman"/>
          <w:sz w:val="24"/>
        </w:rPr>
        <w:t>Monoclonal antibodies used for flow cytometry.</w:t>
      </w:r>
    </w:p>
    <w:tbl>
      <w:tblPr>
        <w:tblStyle w:val="a4"/>
        <w:tblW w:w="85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7"/>
        <w:gridCol w:w="2500"/>
        <w:gridCol w:w="2115"/>
      </w:tblGrid>
      <w:tr w:rsidR="00CA4229">
        <w:tc>
          <w:tcPr>
            <w:tcW w:w="3907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Antibody name</w:t>
            </w:r>
          </w:p>
        </w:tc>
        <w:tc>
          <w:tcPr>
            <w:tcW w:w="2500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Company</w:t>
            </w:r>
          </w:p>
        </w:tc>
        <w:tc>
          <w:tcPr>
            <w:tcW w:w="2115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Catalog No.</w:t>
            </w:r>
          </w:p>
        </w:tc>
      </w:tr>
      <w:tr w:rsidR="00CA4229">
        <w:tc>
          <w:tcPr>
            <w:tcW w:w="3907" w:type="dxa"/>
            <w:tcBorders>
              <w:top w:val="single" w:sz="4" w:space="0" w:color="auto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Viability Dye eFluor 780</w:t>
            </w:r>
          </w:p>
        </w:tc>
        <w:tc>
          <w:tcPr>
            <w:tcW w:w="2500" w:type="dxa"/>
            <w:tcBorders>
              <w:top w:val="single" w:sz="4" w:space="0" w:color="auto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eBioscience</w:t>
            </w:r>
          </w:p>
        </w:tc>
        <w:tc>
          <w:tcPr>
            <w:tcW w:w="2115" w:type="dxa"/>
            <w:tcBorders>
              <w:top w:val="single" w:sz="4" w:space="0" w:color="auto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65-0865-14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Anti-Mouse-CD3 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Bv605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BioLegend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100237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Anti-Mouse-CD4 FITC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11-0041-85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Anti-Mouse-CD4 PE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12-0042-85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Anti-Mouse-CD4 PercP-Cy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TM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5.5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Tonbo 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65-0042-U100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Anti-Mouse-CD8a 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Bv510</w:t>
            </w:r>
          </w:p>
        </w:tc>
        <w:tc>
          <w:tcPr>
            <w:tcW w:w="2500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BioLegend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100752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Anti-Mouse-CD19 PE</w:t>
            </w:r>
          </w:p>
        </w:tc>
        <w:tc>
          <w:tcPr>
            <w:tcW w:w="2500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eBioscience 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12-0193-82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Anti-Mouse-CD45 ef450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48-0454-82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Anti-Mouse-CD44 PE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Miltenyi Biotec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130-102-606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Anti-Mouse-CD62L APC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Tonbo 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20-0621-U100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Anti-Mouse-CD25 PE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12-0251-82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Anti-Mouse-IL4 PE</w:t>
            </w:r>
          </w:p>
        </w:tc>
        <w:tc>
          <w:tcPr>
            <w:tcW w:w="2500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eBioscience 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12-7041-82</w:t>
            </w:r>
          </w:p>
        </w:tc>
      </w:tr>
      <w:tr w:rsidR="00CA4229">
        <w:trPr>
          <w:trHeight w:val="202"/>
        </w:trPr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Anti-Mouse-IFNγ FITC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Tonbo 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35-7311-U100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Anti-Mouse-IL-17A ef450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48-7177-82</w:t>
            </w:r>
          </w:p>
        </w:tc>
      </w:tr>
      <w:tr w:rsidR="00CA4229">
        <w:tc>
          <w:tcPr>
            <w:tcW w:w="3907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Anti-Mouse-Foxp3 APC</w:t>
            </w:r>
          </w:p>
        </w:tc>
        <w:tc>
          <w:tcPr>
            <w:tcW w:w="250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eBioscience</w:t>
            </w:r>
          </w:p>
        </w:tc>
        <w:tc>
          <w:tcPr>
            <w:tcW w:w="2115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17-5773-82</w:t>
            </w:r>
          </w:p>
        </w:tc>
      </w:tr>
    </w:tbl>
    <w:p w:rsidR="00CA4229" w:rsidRDefault="00CA4229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sz w:val="24"/>
        </w:rPr>
        <w:t>2</w:t>
      </w:r>
      <w:r>
        <w:rPr>
          <w:rFonts w:ascii="Times New Roman" w:eastAsia="宋体" w:hAnsi="Times New Roman" w:cs="Times New Roman"/>
          <w:b/>
          <w:sz w:val="24"/>
        </w:rPr>
        <w:t xml:space="preserve">: </w:t>
      </w:r>
      <w:r>
        <w:rPr>
          <w:rFonts w:ascii="Times New Roman" w:eastAsia="宋体" w:hAnsi="Times New Roman" w:cs="Times New Roman"/>
          <w:sz w:val="24"/>
        </w:rPr>
        <w:t xml:space="preserve">Monoclonal antibodies used for </w:t>
      </w:r>
      <w:r>
        <w:rPr>
          <w:rFonts w:ascii="Times New Roman" w:eastAsia="宋体" w:hAnsi="Times New Roman" w:cs="Times New Roman" w:hint="eastAsia"/>
          <w:sz w:val="24"/>
        </w:rPr>
        <w:t>Western blot</w:t>
      </w:r>
      <w:r>
        <w:rPr>
          <w:rFonts w:ascii="Times New Roman" w:eastAsia="宋体" w:hAnsi="Times New Roman" w:cs="Times New Roman"/>
          <w:sz w:val="24"/>
        </w:rPr>
        <w:t xml:space="preserve"> (</w:t>
      </w:r>
      <w:r>
        <w:rPr>
          <w:rFonts w:ascii="Times New Roman" w:eastAsia="宋体" w:hAnsi="Times New Roman" w:cs="Times New Roman" w:hint="eastAsia"/>
          <w:sz w:val="24"/>
        </w:rPr>
        <w:t>W</w:t>
      </w:r>
      <w:r>
        <w:rPr>
          <w:rFonts w:ascii="Times New Roman" w:eastAsia="宋体" w:hAnsi="Times New Roman" w:cs="Times New Roman"/>
          <w:sz w:val="24"/>
        </w:rPr>
        <w:t>B).</w:t>
      </w:r>
    </w:p>
    <w:tbl>
      <w:tblPr>
        <w:tblStyle w:val="a4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0"/>
        <w:gridCol w:w="3156"/>
        <w:gridCol w:w="1536"/>
      </w:tblGrid>
      <w:tr w:rsidR="00CA4229">
        <w:tc>
          <w:tcPr>
            <w:tcW w:w="3830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Antibody name</w:t>
            </w:r>
          </w:p>
        </w:tc>
        <w:tc>
          <w:tcPr>
            <w:tcW w:w="3156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Company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Catalog No.</w:t>
            </w:r>
          </w:p>
        </w:tc>
      </w:tr>
      <w:tr w:rsidR="00CA4229">
        <w:tc>
          <w:tcPr>
            <w:tcW w:w="3830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Phospho-SAPK/JNK (Thr183/Tyr185) Antibody</w:t>
            </w:r>
          </w:p>
        </w:tc>
        <w:tc>
          <w:tcPr>
            <w:tcW w:w="3156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9251</w:t>
            </w:r>
          </w:p>
        </w:tc>
      </w:tr>
      <w:tr w:rsidR="00CA4229">
        <w:tc>
          <w:tcPr>
            <w:tcW w:w="3830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SAPK/JNK Antibody</w:t>
            </w:r>
          </w:p>
        </w:tc>
        <w:tc>
          <w:tcPr>
            <w:tcW w:w="315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9252</w:t>
            </w:r>
          </w:p>
        </w:tc>
      </w:tr>
      <w:tr w:rsidR="00CA4229">
        <w:tc>
          <w:tcPr>
            <w:tcW w:w="3830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Phospho-Akt (Ser473) (D9E) XP® Rabbit mAb</w:t>
            </w:r>
          </w:p>
        </w:tc>
        <w:tc>
          <w:tcPr>
            <w:tcW w:w="315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4060</w:t>
            </w:r>
          </w:p>
        </w:tc>
      </w:tr>
      <w:tr w:rsidR="00CA4229">
        <w:tc>
          <w:tcPr>
            <w:tcW w:w="3830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Akt Antibody</w:t>
            </w:r>
          </w:p>
        </w:tc>
        <w:tc>
          <w:tcPr>
            <w:tcW w:w="315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9272</w:t>
            </w:r>
          </w:p>
        </w:tc>
      </w:tr>
      <w:tr w:rsidR="00CA4229">
        <w:tc>
          <w:tcPr>
            <w:tcW w:w="3830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lastRenderedPageBreak/>
              <w:t>Phospho-SMAD2 (Ser465/Ser467) (E8F3R) Rabbit mAb (Biotinylated)</w:t>
            </w:r>
          </w:p>
        </w:tc>
        <w:tc>
          <w:tcPr>
            <w:tcW w:w="315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55041</w:t>
            </w:r>
          </w:p>
        </w:tc>
      </w:tr>
      <w:tr w:rsidR="00CA4229">
        <w:tc>
          <w:tcPr>
            <w:tcW w:w="3830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SMAD2 (D43B4) XP® Rabbit mAb</w:t>
            </w:r>
          </w:p>
        </w:tc>
        <w:tc>
          <w:tcPr>
            <w:tcW w:w="315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op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5339</w:t>
            </w:r>
          </w:p>
        </w:tc>
      </w:tr>
      <w:tr w:rsidR="00CA4229">
        <w:tc>
          <w:tcPr>
            <w:tcW w:w="383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Phospho-Stat5 (Tyr694) (D47E7) XP® Rabbit mAb</w:t>
            </w:r>
          </w:p>
        </w:tc>
        <w:tc>
          <w:tcPr>
            <w:tcW w:w="3156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4322</w:t>
            </w:r>
          </w:p>
        </w:tc>
      </w:tr>
      <w:tr w:rsidR="00CA4229">
        <w:tc>
          <w:tcPr>
            <w:tcW w:w="383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Stat5 (D2O6Y) Rabbit mAb </w:t>
            </w:r>
          </w:p>
        </w:tc>
        <w:tc>
          <w:tcPr>
            <w:tcW w:w="3156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Cell Signaling Technology</w:t>
            </w:r>
          </w:p>
        </w:tc>
        <w:tc>
          <w:tcPr>
            <w:tcW w:w="1536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94205</w:t>
            </w:r>
          </w:p>
        </w:tc>
      </w:tr>
      <w:tr w:rsidR="00CA4229">
        <w:tc>
          <w:tcPr>
            <w:tcW w:w="3830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GAPDH Monoclonal Antibody</w:t>
            </w:r>
          </w:p>
        </w:tc>
        <w:tc>
          <w:tcPr>
            <w:tcW w:w="3156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Proteintech</w:t>
            </w:r>
          </w:p>
        </w:tc>
        <w:tc>
          <w:tcPr>
            <w:tcW w:w="1536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60004-1-Ig</w:t>
            </w:r>
          </w:p>
        </w:tc>
      </w:tr>
    </w:tbl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CA422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:rsidR="00CA4229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 w:val="24"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sz w:val="24"/>
        </w:rPr>
        <w:t>3</w:t>
      </w:r>
      <w:r>
        <w:rPr>
          <w:rFonts w:ascii="Times New Roman" w:eastAsia="宋体" w:hAnsi="Times New Roman" w:cs="Times New Roman"/>
          <w:b/>
          <w:sz w:val="24"/>
        </w:rPr>
        <w:t xml:space="preserve">:  </w:t>
      </w:r>
      <w:r>
        <w:rPr>
          <w:rFonts w:ascii="Times New Roman" w:eastAsia="宋体" w:hAnsi="Times New Roman" w:cs="Times New Roman"/>
          <w:sz w:val="24"/>
        </w:rPr>
        <w:t>Real-Time Polymerase Chain Reaction (qPCR) Primers.</w:t>
      </w:r>
    </w:p>
    <w:tbl>
      <w:tblPr>
        <w:tblStyle w:val="a4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3798"/>
        <w:gridCol w:w="3833"/>
      </w:tblGrid>
      <w:tr w:rsidR="00CA4229">
        <w:tc>
          <w:tcPr>
            <w:tcW w:w="994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Gene</w:t>
            </w: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Forward (5’-3’)</w:t>
            </w:r>
          </w:p>
        </w:tc>
        <w:tc>
          <w:tcPr>
            <w:tcW w:w="3833" w:type="dxa"/>
            <w:tcBorders>
              <w:bottom w:val="single" w:sz="4" w:space="0" w:color="auto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Reverse (5’-3’)</w:t>
            </w:r>
          </w:p>
        </w:tc>
      </w:tr>
      <w:tr w:rsidR="00CA4229">
        <w:tc>
          <w:tcPr>
            <w:tcW w:w="994" w:type="dxa"/>
            <w:tcBorders>
              <w:top w:val="nil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Actin</w:t>
            </w:r>
          </w:p>
        </w:tc>
        <w:tc>
          <w:tcPr>
            <w:tcW w:w="3798" w:type="dxa"/>
            <w:tcBorders>
              <w:top w:val="nil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TGGAATCCTGTGGCATCCATGAAAC</w:t>
            </w:r>
          </w:p>
        </w:tc>
        <w:tc>
          <w:tcPr>
            <w:tcW w:w="3833" w:type="dxa"/>
            <w:tcBorders>
              <w:top w:val="nil"/>
              <w:tl2br w:val="nil"/>
              <w:tr2bl w:val="nil"/>
            </w:tcBorders>
          </w:tcPr>
          <w:p w:rsidR="00CA4229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TAAAACGCAGCTCAGTAACAGTCCG 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CB2</w:t>
            </w:r>
          </w:p>
        </w:tc>
        <w:tc>
          <w:tcPr>
            <w:tcW w:w="3798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</w:rPr>
              <w:t>CTCGTACCTGTTCATCAGCAGC</w:t>
            </w:r>
          </w:p>
        </w:tc>
        <w:tc>
          <w:tcPr>
            <w:tcW w:w="3833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</w:rPr>
              <w:t>CAGCAGGAAGATAGCGTTGGAG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Foxp3</w:t>
            </w:r>
          </w:p>
        </w:tc>
        <w:tc>
          <w:tcPr>
            <w:tcW w:w="3798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GGCCCTTCTCCAGGACAGA </w:t>
            </w:r>
          </w:p>
        </w:tc>
        <w:tc>
          <w:tcPr>
            <w:tcW w:w="3833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GCTGATCATGGCTGGGTTGT 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TGF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β</w:t>
            </w:r>
          </w:p>
        </w:tc>
        <w:tc>
          <w:tcPr>
            <w:tcW w:w="3798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CTCCCGTGGCTTCTAGTGC</w:t>
            </w:r>
          </w:p>
        </w:tc>
        <w:tc>
          <w:tcPr>
            <w:tcW w:w="3833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GCCTTAGTTTGGACAGGATCTG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CD25</w:t>
            </w:r>
          </w:p>
        </w:tc>
        <w:tc>
          <w:tcPr>
            <w:tcW w:w="3798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GCGTTGCTTAGGAAACTCCTGG</w:t>
            </w:r>
          </w:p>
        </w:tc>
        <w:tc>
          <w:tcPr>
            <w:tcW w:w="3833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GCATAGACTGTGTTGGCTTCTGC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IL2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GCGGCATGTTCTGGATTTGACTC</w:t>
            </w:r>
          </w:p>
        </w:tc>
        <w:tc>
          <w:tcPr>
            <w:tcW w:w="3833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CCACCACAGTTGCTGACTCATC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IL10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GCTCTTACTGACTGGCATGAG</w:t>
            </w:r>
          </w:p>
        </w:tc>
        <w:tc>
          <w:tcPr>
            <w:tcW w:w="3833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CGCAGCTCTAGGAGCATGTG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GzmB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CAGGAGAAGACCCAGCAAGTCA</w:t>
            </w:r>
          </w:p>
        </w:tc>
        <w:tc>
          <w:tcPr>
            <w:tcW w:w="3833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CTCACAGCTCTAGTCCTCTTGG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IL17A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</w:rPr>
              <w:t xml:space="preserve">TCCAGAAGGCCCTCAGACTA </w:t>
            </w:r>
          </w:p>
        </w:tc>
        <w:tc>
          <w:tcPr>
            <w:tcW w:w="3833" w:type="dxa"/>
            <w:tcBorders>
              <w:tl2br w:val="nil"/>
              <w:tr2bl w:val="nil"/>
            </w:tcBorders>
            <w:shd w:val="clear" w:color="auto" w:fill="auto"/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</w:rPr>
              <w:t xml:space="preserve">CTCGACCCTGAAAGTGAAGG 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IL17F</w:t>
            </w:r>
          </w:p>
        </w:tc>
        <w:tc>
          <w:tcPr>
            <w:tcW w:w="3798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</w:rPr>
              <w:t>CCCAGGGTCAGGAAGACA</w:t>
            </w:r>
          </w:p>
        </w:tc>
        <w:tc>
          <w:tcPr>
            <w:tcW w:w="3833" w:type="dxa"/>
            <w:tcBorders>
              <w:tl2br w:val="nil"/>
              <w:tr2bl w:val="nil"/>
            </w:tcBorders>
          </w:tcPr>
          <w:p w:rsidR="00CA4229" w:rsidRDefault="00000000">
            <w:pPr>
              <w:pStyle w:val="a3"/>
              <w:spacing w:line="36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</w:rPr>
              <w:t>CCGAAGGACCAGGATTTCT</w:t>
            </w:r>
          </w:p>
        </w:tc>
      </w:tr>
      <w:tr w:rsidR="00CA4229">
        <w:tc>
          <w:tcPr>
            <w:tcW w:w="994" w:type="dxa"/>
            <w:tcBorders>
              <w:tl2br w:val="nil"/>
              <w:tr2bl w:val="nil"/>
            </w:tcBorders>
          </w:tcPr>
          <w:p w:rsidR="00CA4229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Ror-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γ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t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AACCAGGCATCCTGAACTTG </w:t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" cy="12700"/>
                  <wp:effectExtent l="0" t="0" r="0" b="0"/>
                  <wp:wrapNone/>
                  <wp:docPr id="5" name="AutoShape_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utoShape_13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" cy="12700"/>
                  <wp:effectExtent l="0" t="0" r="0" b="0"/>
                  <wp:wrapNone/>
                  <wp:docPr id="6" name="AutoShape_1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utoShape_135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" cy="12700"/>
                  <wp:effectExtent l="0" t="0" r="0" b="0"/>
                  <wp:wrapNone/>
                  <wp:docPr id="7" name="AutoShape_13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utoShape_135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Cs w:val="21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" cy="12700"/>
                  <wp:effectExtent l="0" t="0" r="0" b="0"/>
                  <wp:wrapNone/>
                  <wp:docPr id="8" name="AutoShape_13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utoShape_135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33" w:type="dxa"/>
            <w:tcBorders>
              <w:tl2br w:val="nil"/>
              <w:tr2bl w:val="nil"/>
            </w:tcBorders>
            <w:vAlign w:val="center"/>
          </w:tcPr>
          <w:p w:rsidR="00CA4229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CGTAGAAGGTCCTCCAGTCG </w:t>
            </w:r>
          </w:p>
        </w:tc>
      </w:tr>
    </w:tbl>
    <w:p w:rsidR="00CA4229" w:rsidRDefault="00CA4229">
      <w:pPr>
        <w:spacing w:line="360" w:lineRule="auto"/>
      </w:pPr>
    </w:p>
    <w:p w:rsidR="00CA4229" w:rsidRDefault="00CA4229">
      <w:pPr>
        <w:spacing w:line="360" w:lineRule="auto"/>
        <w:rPr>
          <w:rFonts w:ascii="Times New Roman" w:hAnsi="Times New Roman" w:cs="Times New Roman"/>
          <w:sz w:val="24"/>
        </w:rPr>
      </w:pPr>
    </w:p>
    <w:p w:rsidR="00CA4229" w:rsidRDefault="00CA4229">
      <w:pPr>
        <w:spacing w:line="360" w:lineRule="auto"/>
      </w:pPr>
    </w:p>
    <w:sectPr w:rsidR="00CA4229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JhZTIxYWM2M2I3OTM2NGQ2ZmMxOTY4YjIyZGNjNTMifQ=="/>
  </w:docVars>
  <w:rsids>
    <w:rsidRoot w:val="57657423"/>
    <w:rsid w:val="00833C47"/>
    <w:rsid w:val="009B2082"/>
    <w:rsid w:val="00CA4229"/>
    <w:rsid w:val="51DC0DF8"/>
    <w:rsid w:val="54190C8F"/>
    <w:rsid w:val="57657423"/>
    <w:rsid w:val="5E782489"/>
    <w:rsid w:val="62DC5F40"/>
    <w:rsid w:val="65EB2F60"/>
    <w:rsid w:val="73F2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74C0DC"/>
  <w15:docId w15:val="{4DA791F6-02C5-4B51-B4EA-52911DA9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</w:pPr>
    <w:rPr>
      <w:rFonts w:ascii="Calibri" w:eastAsia="宋体" w:hAnsi="Calibri" w:cs="Times New Roman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田不辣</dc:creator>
  <cp:lastModifiedBy>Na Tian</cp:lastModifiedBy>
  <cp:revision>2</cp:revision>
  <dcterms:created xsi:type="dcterms:W3CDTF">2024-11-14T11:52:00Z</dcterms:created>
  <dcterms:modified xsi:type="dcterms:W3CDTF">2025-01-03T13:44:00Z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CA84DC22EA764A0B89C8B2804FC06F95_13</vt:lpwstr>
  </property>
  <property fmtid="{D5CDD505-2E9C-101B-9397-08002B2CF9AE}" pid="4" name="KSOTemplateDocerSaveRecord">
    <vt:lpwstr>eyJoZGlkIjoiZmJhZTIxYWM2M2I3OTM2NGQ2ZmMxOTY4YjIyZGNjNTMiLCJ1c2VySWQiOiIzMjIxMTgzOTQifQ==</vt:lpwstr>
  </property>
</Properties>
</file>